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FC" w:rsidRPr="00A46476" w:rsidRDefault="007778FC" w:rsidP="007778FC">
      <w:pPr>
        <w:spacing w:before="100" w:beforeAutospacing="1" w:after="100" w:afterAutospacing="1"/>
        <w:outlineLvl w:val="0"/>
        <w:rPr>
          <w:rFonts w:asciiTheme="majorHAnsi" w:eastAsia="Times New Roman" w:hAnsiTheme="majorHAnsi" w:cs="Times New Roman"/>
          <w:bCs/>
          <w:color w:val="E36C0A" w:themeColor="accent6" w:themeShade="BF"/>
          <w:kern w:val="36"/>
          <w:sz w:val="34"/>
          <w:szCs w:val="34"/>
          <w:lang w:eastAsia="de-DE"/>
        </w:rPr>
      </w:pPr>
      <w:r w:rsidRPr="00A46476">
        <w:rPr>
          <w:rFonts w:asciiTheme="majorHAnsi" w:eastAsia="Times New Roman" w:hAnsiTheme="majorHAnsi" w:cs="Times New Roman"/>
          <w:bCs/>
          <w:color w:val="E36C0A" w:themeColor="accent6" w:themeShade="BF"/>
          <w:kern w:val="36"/>
          <w:sz w:val="34"/>
          <w:szCs w:val="34"/>
          <w:lang w:eastAsia="de-DE"/>
        </w:rPr>
        <w:t>Steuerspar-Checkliste: freie Berufe</w:t>
      </w:r>
    </w:p>
    <w:p w:rsidR="007778FC" w:rsidRPr="007778FC" w:rsidRDefault="007778FC" w:rsidP="007778FC">
      <w:pPr>
        <w:spacing w:before="100" w:beforeAutospacing="1" w:after="100" w:afterAutospacing="1"/>
        <w:outlineLvl w:val="0"/>
        <w:rPr>
          <w:rFonts w:eastAsia="Times New Roman" w:cs="Times New Roman"/>
          <w:bCs/>
          <w:color w:val="C00000"/>
          <w:kern w:val="36"/>
          <w:sz w:val="19"/>
          <w:szCs w:val="19"/>
          <w:lang w:eastAsia="de-DE"/>
        </w:rPr>
      </w:pPr>
    </w:p>
    <w:tbl>
      <w:tblPr>
        <w:tblStyle w:val="Tabellengitternetz"/>
        <w:tblW w:w="0" w:type="auto"/>
        <w:tblLook w:val="04A0"/>
      </w:tblPr>
      <w:tblGrid>
        <w:gridCol w:w="6487"/>
        <w:gridCol w:w="2725"/>
      </w:tblGrid>
      <w:tr w:rsidR="007778FC" w:rsidRPr="007778FC" w:rsidTr="005C58FB">
        <w:tc>
          <w:tcPr>
            <w:tcW w:w="9212" w:type="dxa"/>
            <w:gridSpan w:val="2"/>
            <w:vAlign w:val="center"/>
          </w:tcPr>
          <w:p w:rsidR="007778FC" w:rsidRPr="007778FC" w:rsidRDefault="007778FC" w:rsidP="007778FC">
            <w:pPr>
              <w:spacing w:before="100" w:beforeAutospacing="1" w:after="100" w:afterAutospacing="1"/>
              <w:outlineLvl w:val="0"/>
              <w:rPr>
                <w:rFonts w:eastAsia="Times New Roman" w:cs="Times New Roman"/>
                <w:bCs/>
                <w:color w:val="C00000"/>
                <w:kern w:val="36"/>
                <w:sz w:val="24"/>
                <w:szCs w:val="24"/>
                <w:lang w:eastAsia="de-DE"/>
              </w:rPr>
            </w:pPr>
            <w:r w:rsidRPr="007778FC">
              <w:rPr>
                <w:rFonts w:eastAsia="Times New Roman" w:cs="Times New Roman"/>
                <w:bCs/>
                <w:sz w:val="24"/>
                <w:szCs w:val="24"/>
                <w:lang w:eastAsia="de-DE"/>
              </w:rPr>
              <w:t>Verlagerung von Einnahmen und Ausgaben</w:t>
            </w:r>
          </w:p>
        </w:tc>
      </w:tr>
      <w:tr w:rsidR="007778FC" w:rsidRPr="007778FC" w:rsidTr="000620BE">
        <w:tc>
          <w:tcPr>
            <w:tcW w:w="6487" w:type="dxa"/>
            <w:vAlign w:val="center"/>
          </w:tcPr>
          <w:p w:rsidR="007778FC" w:rsidRPr="007778FC" w:rsidRDefault="007778FC" w:rsidP="007778FC">
            <w:pPr>
              <w:spacing w:before="100" w:beforeAutospacing="1" w:after="100" w:afterAutospacing="1"/>
              <w:outlineLvl w:val="0"/>
              <w:rPr>
                <w:rFonts w:eastAsia="Times New Roman" w:cs="Times New Roman"/>
                <w:bCs/>
                <w:color w:val="C00000"/>
                <w:kern w:val="36"/>
                <w:sz w:val="24"/>
                <w:szCs w:val="24"/>
                <w:lang w:eastAsia="de-DE"/>
              </w:rPr>
            </w:pPr>
            <w:r w:rsidRPr="007778FC">
              <w:rPr>
                <w:rFonts w:eastAsia="Times New Roman" w:cs="Times New Roman"/>
                <w:sz w:val="24"/>
                <w:szCs w:val="24"/>
                <w:lang w:eastAsia="de-DE"/>
              </w:rPr>
              <w:t>Freie Berufe und nicht bilanzierungspflichtige Unternehmer ermitteln ihren Gewinn durch Einnahmen-Überschussrechnung. Hier gilt das so genannte Zufluss-Abflussprinzip. Einnahmen gelten danach in dem Jahr bezogen, indem sie zugeflossen sind. Ausgaben müssen in dem Kalenderjahr angesetzt werden, in dem sie tatsächlich gezahlt (geleistet) worden sind. Durch Hinausschieben von Einnahmen und Vorziehen von Aufwendungen lässt sich der steuerpflichtige Einnahmen-Überschuss beeinflussen.</w:t>
            </w:r>
          </w:p>
        </w:tc>
        <w:tc>
          <w:tcPr>
            <w:tcW w:w="2725" w:type="dxa"/>
            <w:vAlign w:val="center"/>
          </w:tcPr>
          <w:p w:rsidR="007778FC" w:rsidRPr="007778FC" w:rsidRDefault="007778FC" w:rsidP="007778FC">
            <w:pPr>
              <w:pStyle w:val="Listenabsatz"/>
              <w:numPr>
                <w:ilvl w:val="0"/>
                <w:numId w:val="3"/>
              </w:numPr>
              <w:spacing w:before="100" w:beforeAutospacing="1" w:after="100" w:afterAutospacing="1"/>
              <w:outlineLvl w:val="0"/>
              <w:rPr>
                <w:rFonts w:eastAsia="Times New Roman" w:cs="Times New Roman"/>
                <w:bCs/>
                <w:kern w:val="36"/>
                <w:sz w:val="24"/>
                <w:szCs w:val="24"/>
                <w:lang w:eastAsia="de-DE"/>
              </w:rPr>
            </w:pPr>
            <w:r w:rsidRPr="007778FC">
              <w:rPr>
                <w:rFonts w:eastAsia="Times New Roman" w:cs="Times New Roman"/>
                <w:bCs/>
                <w:kern w:val="36"/>
                <w:sz w:val="24"/>
                <w:szCs w:val="24"/>
                <w:lang w:eastAsia="de-DE"/>
              </w:rPr>
              <w:t>erledigt</w:t>
            </w:r>
          </w:p>
        </w:tc>
      </w:tr>
    </w:tbl>
    <w:p w:rsidR="007778FC" w:rsidRDefault="007778FC" w:rsidP="007778FC">
      <w:pPr>
        <w:spacing w:before="100" w:beforeAutospacing="1" w:after="100" w:afterAutospacing="1"/>
        <w:outlineLvl w:val="0"/>
        <w:rPr>
          <w:rFonts w:eastAsia="Times New Roman" w:cs="Times New Roman"/>
          <w:bCs/>
          <w:color w:val="C00000"/>
          <w:kern w:val="36"/>
          <w:sz w:val="19"/>
          <w:szCs w:val="19"/>
          <w:lang w:eastAsia="de-DE"/>
        </w:rPr>
      </w:pPr>
    </w:p>
    <w:tbl>
      <w:tblPr>
        <w:tblStyle w:val="Tabellengitternetz"/>
        <w:tblW w:w="0" w:type="auto"/>
        <w:tblLook w:val="04A0"/>
      </w:tblPr>
      <w:tblGrid>
        <w:gridCol w:w="6487"/>
        <w:gridCol w:w="2725"/>
      </w:tblGrid>
      <w:tr w:rsidR="007778FC" w:rsidTr="006173B3">
        <w:tc>
          <w:tcPr>
            <w:tcW w:w="9212" w:type="dxa"/>
            <w:gridSpan w:val="2"/>
            <w:vAlign w:val="center"/>
          </w:tcPr>
          <w:p w:rsidR="007778FC" w:rsidRPr="007778FC" w:rsidRDefault="007778FC" w:rsidP="00E90E2D">
            <w:pPr>
              <w:rPr>
                <w:rFonts w:eastAsia="Times New Roman" w:cs="Times New Roman"/>
                <w:sz w:val="24"/>
                <w:szCs w:val="24"/>
                <w:lang w:eastAsia="de-DE"/>
              </w:rPr>
            </w:pPr>
            <w:r w:rsidRPr="007778FC">
              <w:rPr>
                <w:rFonts w:eastAsia="Times New Roman" w:cs="Times New Roman"/>
                <w:bCs/>
                <w:sz w:val="24"/>
                <w:szCs w:val="24"/>
                <w:lang w:eastAsia="de-DE"/>
              </w:rPr>
              <w:t>Verschieben von Einnahmen</w:t>
            </w:r>
          </w:p>
        </w:tc>
      </w:tr>
      <w:tr w:rsidR="007778FC" w:rsidTr="000620BE">
        <w:tc>
          <w:tcPr>
            <w:tcW w:w="6487" w:type="dxa"/>
            <w:vAlign w:val="center"/>
          </w:tcPr>
          <w:p w:rsidR="007778FC" w:rsidRPr="007778FC" w:rsidRDefault="007778FC" w:rsidP="00E90E2D">
            <w:pPr>
              <w:spacing w:before="100" w:beforeAutospacing="1" w:after="100" w:afterAutospacing="1"/>
              <w:rPr>
                <w:rFonts w:eastAsia="Times New Roman" w:cs="Times New Roman"/>
                <w:sz w:val="24"/>
                <w:szCs w:val="24"/>
                <w:lang w:eastAsia="de-DE"/>
              </w:rPr>
            </w:pPr>
            <w:r w:rsidRPr="007778FC">
              <w:rPr>
                <w:rFonts w:eastAsia="Times New Roman" w:cs="Times New Roman"/>
                <w:sz w:val="24"/>
                <w:szCs w:val="24"/>
                <w:lang w:eastAsia="de-DE"/>
              </w:rPr>
              <w:t>Erstellen und</w:t>
            </w:r>
            <w:r w:rsidR="00832696">
              <w:rPr>
                <w:rFonts w:eastAsia="Times New Roman" w:cs="Times New Roman"/>
                <w:sz w:val="24"/>
                <w:szCs w:val="24"/>
                <w:lang w:eastAsia="de-DE"/>
              </w:rPr>
              <w:t xml:space="preserve"> versenden Sie Rechnungen erst i</w:t>
            </w:r>
            <w:r w:rsidRPr="007778FC">
              <w:rPr>
                <w:rFonts w:eastAsia="Times New Roman" w:cs="Times New Roman"/>
                <w:sz w:val="24"/>
                <w:szCs w:val="24"/>
                <w:lang w:eastAsia="de-DE"/>
              </w:rPr>
              <w:t>m Januar 201</w:t>
            </w:r>
            <w:r w:rsidR="006F6D1F">
              <w:rPr>
                <w:rFonts w:eastAsia="Times New Roman" w:cs="Times New Roman"/>
                <w:sz w:val="24"/>
                <w:szCs w:val="24"/>
                <w:lang w:eastAsia="de-DE"/>
              </w:rPr>
              <w:t>6</w:t>
            </w:r>
            <w:r w:rsidRPr="007778FC">
              <w:rPr>
                <w:rFonts w:eastAsia="Times New Roman" w:cs="Times New Roman"/>
                <w:sz w:val="24"/>
                <w:szCs w:val="24"/>
                <w:lang w:eastAsia="de-DE"/>
              </w:rPr>
              <w:t>. Ist der Rechnungsempfänger Bilanzierer, entstehen diesem keinerlei Nachteile, da er nicht bezahlte Rechnungen gewinnmindernd als Verbindlichkeiten bilanziert.</w:t>
            </w:r>
          </w:p>
          <w:p w:rsidR="007778FC" w:rsidRPr="007778FC" w:rsidRDefault="007778FC" w:rsidP="006F6D1F">
            <w:pPr>
              <w:spacing w:before="100" w:beforeAutospacing="1" w:after="100" w:afterAutospacing="1"/>
              <w:rPr>
                <w:rFonts w:eastAsia="Times New Roman" w:cs="Times New Roman"/>
                <w:sz w:val="24"/>
                <w:szCs w:val="24"/>
                <w:lang w:eastAsia="de-DE"/>
              </w:rPr>
            </w:pPr>
            <w:r w:rsidRPr="007778FC">
              <w:rPr>
                <w:rFonts w:eastAsia="Times New Roman" w:cs="Times New Roman"/>
                <w:sz w:val="24"/>
                <w:szCs w:val="24"/>
                <w:lang w:eastAsia="de-DE"/>
              </w:rPr>
              <w:t>Vorsicht bei regelmäßig wiederkehrenden Einnahmen: Fließen solche dem Steuerpflichtigen bis zu zehn Tage nach Beendigung des Kalenderjahres zu, zu dem sie wirtschaftlich gehören, gelten diese als in diesem Kalenderjahr bezogen. Warten Sie hier also den 10.1.201</w:t>
            </w:r>
            <w:r w:rsidR="006F6D1F">
              <w:rPr>
                <w:rFonts w:eastAsia="Times New Roman" w:cs="Times New Roman"/>
                <w:sz w:val="24"/>
                <w:szCs w:val="24"/>
                <w:lang w:eastAsia="de-DE"/>
              </w:rPr>
              <w:t>6</w:t>
            </w:r>
            <w:r w:rsidRPr="007778FC">
              <w:rPr>
                <w:rFonts w:eastAsia="Times New Roman" w:cs="Times New Roman"/>
                <w:sz w:val="24"/>
                <w:szCs w:val="24"/>
                <w:lang w:eastAsia="de-DE"/>
              </w:rPr>
              <w:t xml:space="preserve"> noch ab.</w:t>
            </w:r>
          </w:p>
        </w:tc>
        <w:tc>
          <w:tcPr>
            <w:tcW w:w="2725" w:type="dxa"/>
            <w:vAlign w:val="center"/>
          </w:tcPr>
          <w:p w:rsidR="007778FC" w:rsidRPr="007778FC" w:rsidRDefault="007778FC" w:rsidP="007778FC">
            <w:pPr>
              <w:pStyle w:val="Listenabsatz"/>
              <w:numPr>
                <w:ilvl w:val="0"/>
                <w:numId w:val="3"/>
              </w:numPr>
              <w:spacing w:before="100" w:beforeAutospacing="1" w:after="100" w:afterAutospacing="1"/>
              <w:outlineLvl w:val="0"/>
              <w:rPr>
                <w:rFonts w:eastAsia="Times New Roman" w:cs="Times New Roman"/>
                <w:bCs/>
                <w:kern w:val="36"/>
                <w:sz w:val="24"/>
                <w:szCs w:val="24"/>
                <w:lang w:eastAsia="de-DE"/>
              </w:rPr>
            </w:pPr>
            <w:r>
              <w:rPr>
                <w:rFonts w:eastAsia="Times New Roman" w:cs="Times New Roman"/>
                <w:bCs/>
                <w:kern w:val="36"/>
                <w:sz w:val="24"/>
                <w:szCs w:val="24"/>
                <w:lang w:eastAsia="de-DE"/>
              </w:rPr>
              <w:t>e</w:t>
            </w:r>
            <w:r w:rsidRPr="007778FC">
              <w:rPr>
                <w:rFonts w:eastAsia="Times New Roman" w:cs="Times New Roman"/>
                <w:bCs/>
                <w:kern w:val="36"/>
                <w:sz w:val="24"/>
                <w:szCs w:val="24"/>
                <w:lang w:eastAsia="de-DE"/>
              </w:rPr>
              <w:t>rledigt</w:t>
            </w:r>
          </w:p>
        </w:tc>
      </w:tr>
    </w:tbl>
    <w:p w:rsidR="007778FC" w:rsidRDefault="007778FC" w:rsidP="007778FC">
      <w:pPr>
        <w:tabs>
          <w:tab w:val="left" w:pos="3097"/>
        </w:tabs>
        <w:spacing w:before="100" w:beforeAutospacing="1" w:after="100" w:afterAutospacing="1"/>
        <w:outlineLvl w:val="0"/>
        <w:rPr>
          <w:rFonts w:eastAsia="Times New Roman" w:cs="Times New Roman"/>
          <w:bCs/>
          <w:color w:val="C00000"/>
          <w:kern w:val="36"/>
          <w:sz w:val="19"/>
          <w:szCs w:val="19"/>
          <w:lang w:eastAsia="de-DE"/>
        </w:rPr>
      </w:pPr>
    </w:p>
    <w:tbl>
      <w:tblPr>
        <w:tblStyle w:val="Tabellengitternetz"/>
        <w:tblW w:w="0" w:type="auto"/>
        <w:tblLook w:val="04A0"/>
      </w:tblPr>
      <w:tblGrid>
        <w:gridCol w:w="6487"/>
        <w:gridCol w:w="2725"/>
      </w:tblGrid>
      <w:tr w:rsidR="007778FC" w:rsidTr="00906F28">
        <w:tc>
          <w:tcPr>
            <w:tcW w:w="9212" w:type="dxa"/>
            <w:gridSpan w:val="2"/>
            <w:vAlign w:val="center"/>
          </w:tcPr>
          <w:p w:rsidR="007778FC" w:rsidRPr="007778FC" w:rsidRDefault="007778FC" w:rsidP="00E90E2D">
            <w:pPr>
              <w:rPr>
                <w:rFonts w:eastAsia="Times New Roman" w:cs="Times New Roman"/>
                <w:sz w:val="24"/>
                <w:szCs w:val="24"/>
                <w:lang w:eastAsia="de-DE"/>
              </w:rPr>
            </w:pPr>
            <w:r w:rsidRPr="007778FC">
              <w:rPr>
                <w:rFonts w:eastAsia="Times New Roman" w:cs="Times New Roman"/>
                <w:bCs/>
                <w:sz w:val="24"/>
                <w:szCs w:val="24"/>
                <w:lang w:eastAsia="de-DE"/>
              </w:rPr>
              <w:t>Vorziehen von Ausgaben</w:t>
            </w:r>
          </w:p>
        </w:tc>
      </w:tr>
      <w:tr w:rsidR="007778FC" w:rsidTr="000620BE">
        <w:tc>
          <w:tcPr>
            <w:tcW w:w="6487" w:type="dxa"/>
            <w:vAlign w:val="center"/>
          </w:tcPr>
          <w:p w:rsidR="007778FC" w:rsidRPr="007778FC" w:rsidRDefault="007778FC" w:rsidP="00E90E2D">
            <w:pPr>
              <w:spacing w:before="100" w:beforeAutospacing="1" w:after="100" w:afterAutospacing="1"/>
              <w:rPr>
                <w:rFonts w:eastAsia="Times New Roman" w:cs="Times New Roman"/>
                <w:sz w:val="24"/>
                <w:szCs w:val="24"/>
                <w:lang w:eastAsia="de-DE"/>
              </w:rPr>
            </w:pPr>
            <w:r w:rsidRPr="007778FC">
              <w:rPr>
                <w:rFonts w:eastAsia="Times New Roman" w:cs="Times New Roman"/>
                <w:sz w:val="24"/>
                <w:szCs w:val="24"/>
                <w:lang w:eastAsia="de-DE"/>
              </w:rPr>
              <w:t>Zahlen Sie Rechnungen für 201</w:t>
            </w:r>
            <w:r w:rsidR="006F6D1F">
              <w:rPr>
                <w:rFonts w:eastAsia="Times New Roman" w:cs="Times New Roman"/>
                <w:sz w:val="24"/>
                <w:szCs w:val="24"/>
                <w:lang w:eastAsia="de-DE"/>
              </w:rPr>
              <w:t>6</w:t>
            </w:r>
            <w:r w:rsidRPr="007778FC">
              <w:rPr>
                <w:rFonts w:eastAsia="Times New Roman" w:cs="Times New Roman"/>
                <w:sz w:val="24"/>
                <w:szCs w:val="24"/>
                <w:lang w:eastAsia="de-DE"/>
              </w:rPr>
              <w:t xml:space="preserve"> noch in 201</w:t>
            </w:r>
            <w:r w:rsidR="006F6D1F">
              <w:rPr>
                <w:rFonts w:eastAsia="Times New Roman" w:cs="Times New Roman"/>
                <w:sz w:val="24"/>
                <w:szCs w:val="24"/>
                <w:lang w:eastAsia="de-DE"/>
              </w:rPr>
              <w:t>5</w:t>
            </w:r>
            <w:r w:rsidRPr="007778FC">
              <w:rPr>
                <w:rFonts w:eastAsia="Times New Roman" w:cs="Times New Roman"/>
                <w:sz w:val="24"/>
                <w:szCs w:val="24"/>
                <w:lang w:eastAsia="de-DE"/>
              </w:rPr>
              <w:t xml:space="preserve"> bzw. ziehen Sie Anschaffungen vor. Über</w:t>
            </w:r>
            <w:r w:rsidR="000620BE">
              <w:rPr>
                <w:rFonts w:eastAsia="Times New Roman" w:cs="Times New Roman"/>
                <w:sz w:val="24"/>
                <w:szCs w:val="24"/>
                <w:lang w:eastAsia="de-DE"/>
              </w:rPr>
              <w:t xml:space="preserve">weisungen sind abgeflossen (und </w:t>
            </w:r>
            <w:r w:rsidRPr="007778FC">
              <w:rPr>
                <w:rFonts w:eastAsia="Times New Roman" w:cs="Times New Roman"/>
                <w:sz w:val="24"/>
                <w:szCs w:val="24"/>
                <w:lang w:eastAsia="de-DE"/>
              </w:rPr>
              <w:t>damit die Ausgaben entstanden) zum Zeitpunkt des Eingangs des Überweisungsauftrages bei der Bank. Bei Zahlungen durch Scheck erfolgt der Abfluss mit der Hingabe.</w:t>
            </w:r>
          </w:p>
          <w:p w:rsidR="007778FC" w:rsidRPr="007778FC" w:rsidRDefault="007778FC" w:rsidP="006F6D1F">
            <w:pPr>
              <w:spacing w:before="100" w:beforeAutospacing="1" w:after="100" w:afterAutospacing="1"/>
              <w:rPr>
                <w:rFonts w:eastAsia="Times New Roman" w:cs="Times New Roman"/>
                <w:sz w:val="24"/>
                <w:szCs w:val="24"/>
                <w:lang w:eastAsia="de-DE"/>
              </w:rPr>
            </w:pPr>
            <w:r w:rsidRPr="007778FC">
              <w:rPr>
                <w:rFonts w:eastAsia="Times New Roman" w:cs="Times New Roman"/>
                <w:sz w:val="24"/>
                <w:szCs w:val="24"/>
                <w:lang w:eastAsia="de-DE"/>
              </w:rPr>
              <w:t>Tätigen Sie nach Möglichkeit Anzahlungen. Anzahlungen in 201</w:t>
            </w:r>
            <w:r w:rsidR="006F6D1F">
              <w:rPr>
                <w:rFonts w:eastAsia="Times New Roman" w:cs="Times New Roman"/>
                <w:sz w:val="24"/>
                <w:szCs w:val="24"/>
                <w:lang w:eastAsia="de-DE"/>
              </w:rPr>
              <w:t>5</w:t>
            </w:r>
            <w:r w:rsidRPr="007778FC">
              <w:rPr>
                <w:rFonts w:eastAsia="Times New Roman" w:cs="Times New Roman"/>
                <w:sz w:val="24"/>
                <w:szCs w:val="24"/>
                <w:lang w:eastAsia="de-DE"/>
              </w:rPr>
              <w:t xml:space="preserve"> mindern den Gewinn. Bei regelmäßig wiederkehrenden Ausgaben ist allerdings die zehn-Tages-Frist zu beachten.</w:t>
            </w:r>
          </w:p>
        </w:tc>
        <w:tc>
          <w:tcPr>
            <w:tcW w:w="2725" w:type="dxa"/>
            <w:vAlign w:val="center"/>
          </w:tcPr>
          <w:p w:rsidR="007778FC" w:rsidRPr="007778FC" w:rsidRDefault="007778FC" w:rsidP="007778FC">
            <w:pPr>
              <w:pStyle w:val="Listenabsatz"/>
              <w:numPr>
                <w:ilvl w:val="0"/>
                <w:numId w:val="3"/>
              </w:numPr>
              <w:tabs>
                <w:tab w:val="left" w:pos="3097"/>
              </w:tabs>
              <w:spacing w:before="100" w:beforeAutospacing="1" w:after="100" w:afterAutospacing="1"/>
              <w:outlineLvl w:val="0"/>
              <w:rPr>
                <w:rFonts w:eastAsia="Times New Roman" w:cs="Times New Roman"/>
                <w:bCs/>
                <w:kern w:val="36"/>
                <w:sz w:val="24"/>
                <w:szCs w:val="24"/>
                <w:lang w:eastAsia="de-DE"/>
              </w:rPr>
            </w:pPr>
            <w:r w:rsidRPr="007778FC">
              <w:rPr>
                <w:rFonts w:eastAsia="Times New Roman" w:cs="Times New Roman"/>
                <w:bCs/>
                <w:kern w:val="36"/>
                <w:sz w:val="24"/>
                <w:szCs w:val="24"/>
                <w:lang w:eastAsia="de-DE"/>
              </w:rPr>
              <w:t>erledigt</w:t>
            </w:r>
          </w:p>
        </w:tc>
      </w:tr>
    </w:tbl>
    <w:p w:rsidR="007778FC" w:rsidRDefault="007778FC">
      <w:pPr>
        <w:spacing w:line="276" w:lineRule="auto"/>
        <w:rPr>
          <w:rFonts w:eastAsia="Times New Roman" w:cs="Times New Roman"/>
          <w:bCs/>
          <w:color w:val="C00000"/>
          <w:kern w:val="36"/>
          <w:sz w:val="19"/>
          <w:szCs w:val="19"/>
          <w:lang w:eastAsia="de-DE"/>
        </w:rPr>
      </w:pPr>
      <w:r>
        <w:rPr>
          <w:rFonts w:eastAsia="Times New Roman" w:cs="Times New Roman"/>
          <w:bCs/>
          <w:color w:val="C00000"/>
          <w:kern w:val="36"/>
          <w:sz w:val="19"/>
          <w:szCs w:val="19"/>
          <w:lang w:eastAsia="de-DE"/>
        </w:rPr>
        <w:br w:type="page"/>
      </w:r>
    </w:p>
    <w:p w:rsidR="007778FC" w:rsidRDefault="007778FC">
      <w:pPr>
        <w:spacing w:line="276" w:lineRule="auto"/>
        <w:rPr>
          <w:rFonts w:eastAsia="Times New Roman" w:cs="Times New Roman"/>
          <w:bCs/>
          <w:color w:val="C00000"/>
          <w:kern w:val="36"/>
          <w:sz w:val="19"/>
          <w:szCs w:val="19"/>
          <w:lang w:eastAsia="de-DE"/>
        </w:rPr>
      </w:pPr>
    </w:p>
    <w:tbl>
      <w:tblPr>
        <w:tblStyle w:val="Tabellengitternetz"/>
        <w:tblW w:w="0" w:type="auto"/>
        <w:tblLook w:val="04A0"/>
      </w:tblPr>
      <w:tblGrid>
        <w:gridCol w:w="6487"/>
        <w:gridCol w:w="2725"/>
      </w:tblGrid>
      <w:tr w:rsidR="007778FC" w:rsidTr="00B449A5">
        <w:tc>
          <w:tcPr>
            <w:tcW w:w="9212" w:type="dxa"/>
            <w:gridSpan w:val="2"/>
            <w:vAlign w:val="center"/>
          </w:tcPr>
          <w:p w:rsidR="007778FC" w:rsidRPr="007778FC" w:rsidRDefault="007778FC" w:rsidP="00E90E2D">
            <w:pPr>
              <w:rPr>
                <w:rFonts w:eastAsia="Times New Roman" w:cs="Times New Roman"/>
                <w:sz w:val="24"/>
                <w:szCs w:val="24"/>
                <w:lang w:eastAsia="de-DE"/>
              </w:rPr>
            </w:pPr>
            <w:r w:rsidRPr="007778FC">
              <w:rPr>
                <w:rFonts w:eastAsia="Times New Roman" w:cs="Times New Roman"/>
                <w:bCs/>
                <w:sz w:val="24"/>
                <w:szCs w:val="24"/>
                <w:lang w:eastAsia="de-DE"/>
              </w:rPr>
              <w:t>Pauschaler Betriebsausgabenabzug</w:t>
            </w:r>
          </w:p>
        </w:tc>
      </w:tr>
      <w:tr w:rsidR="007778FC" w:rsidTr="000620BE">
        <w:tc>
          <w:tcPr>
            <w:tcW w:w="6487" w:type="dxa"/>
            <w:vAlign w:val="center"/>
          </w:tcPr>
          <w:p w:rsidR="007778FC" w:rsidRPr="007778FC" w:rsidRDefault="007778FC" w:rsidP="00E90E2D">
            <w:pPr>
              <w:spacing w:before="100" w:beforeAutospacing="1" w:after="100" w:afterAutospacing="1"/>
              <w:rPr>
                <w:rFonts w:eastAsia="Times New Roman" w:cs="Times New Roman"/>
                <w:sz w:val="24"/>
                <w:szCs w:val="24"/>
                <w:lang w:eastAsia="de-DE"/>
              </w:rPr>
            </w:pPr>
            <w:r w:rsidRPr="007778FC">
              <w:rPr>
                <w:rFonts w:eastAsia="Times New Roman" w:cs="Times New Roman"/>
                <w:sz w:val="24"/>
                <w:szCs w:val="24"/>
                <w:lang w:eastAsia="de-DE"/>
              </w:rPr>
              <w:t>Bestimmte Berufsgruppen können anstelle der tatsächlichen Aufwendungen eine Be</w:t>
            </w:r>
            <w:r w:rsidR="000620BE">
              <w:rPr>
                <w:rFonts w:eastAsia="Times New Roman" w:cs="Times New Roman"/>
                <w:sz w:val="24"/>
                <w:szCs w:val="24"/>
                <w:lang w:eastAsia="de-DE"/>
              </w:rPr>
              <w:t xml:space="preserve">triebsausgabenpauschale geltend </w:t>
            </w:r>
            <w:r w:rsidRPr="007778FC">
              <w:rPr>
                <w:rFonts w:eastAsia="Times New Roman" w:cs="Times New Roman"/>
                <w:sz w:val="24"/>
                <w:szCs w:val="24"/>
                <w:lang w:eastAsia="de-DE"/>
              </w:rPr>
              <w:t>machen. So können z.B</w:t>
            </w:r>
            <w:r w:rsidR="00832696">
              <w:rPr>
                <w:rFonts w:eastAsia="Times New Roman" w:cs="Times New Roman"/>
                <w:sz w:val="24"/>
                <w:szCs w:val="24"/>
                <w:lang w:eastAsia="de-DE"/>
              </w:rPr>
              <w:t>.</w:t>
            </w:r>
            <w:r w:rsidRPr="007778FC">
              <w:rPr>
                <w:rFonts w:eastAsia="Times New Roman" w:cs="Times New Roman"/>
                <w:sz w:val="24"/>
                <w:szCs w:val="24"/>
                <w:lang w:eastAsia="de-DE"/>
              </w:rPr>
              <w:t xml:space="preserve"> Schriftsteller oder Journalisten bis zu 30 % der Betriebseinnahmen, höchstens € 2.455 als </w:t>
            </w:r>
            <w:r w:rsidR="000620BE">
              <w:rPr>
                <w:rFonts w:eastAsia="Times New Roman" w:cs="Times New Roman"/>
                <w:sz w:val="24"/>
                <w:szCs w:val="24"/>
                <w:lang w:eastAsia="de-DE"/>
              </w:rPr>
              <w:t>B</w:t>
            </w:r>
            <w:r w:rsidRPr="007778FC">
              <w:rPr>
                <w:rFonts w:eastAsia="Times New Roman" w:cs="Times New Roman"/>
                <w:sz w:val="24"/>
                <w:szCs w:val="24"/>
                <w:lang w:eastAsia="de-DE"/>
              </w:rPr>
              <w:t>etriebsausgaben im Jahr geltend machen.</w:t>
            </w:r>
          </w:p>
          <w:p w:rsidR="007778FC" w:rsidRPr="007778FC" w:rsidRDefault="007778FC" w:rsidP="00E90E2D">
            <w:pPr>
              <w:spacing w:before="100" w:beforeAutospacing="1" w:after="100" w:afterAutospacing="1"/>
              <w:rPr>
                <w:rFonts w:eastAsia="Times New Roman" w:cs="Times New Roman"/>
                <w:sz w:val="24"/>
                <w:szCs w:val="24"/>
                <w:lang w:eastAsia="de-DE"/>
              </w:rPr>
            </w:pPr>
            <w:r w:rsidRPr="007778FC">
              <w:rPr>
                <w:rFonts w:eastAsia="Times New Roman" w:cs="Times New Roman"/>
                <w:sz w:val="24"/>
                <w:szCs w:val="24"/>
                <w:lang w:eastAsia="de-DE"/>
              </w:rPr>
              <w:t>Bei nebenberuflicher wissenschaftlicher, künstlerischer oder schriftstellerischer Tätigkeit sind es maximal € 614. Dasselbe gilt für die Erteilung von Nachhilfeunterricht. Selbstständig tätige Hebammen können 25 % der Betriebseinnahmen, maximal bis zu € 1.535 im Jahr geltend machen. Die Geltendmachung der Pauschalen lohnt sich freilich nur, wenn die tatsächlichen Aufwendungen geringer sind.</w:t>
            </w:r>
          </w:p>
        </w:tc>
        <w:tc>
          <w:tcPr>
            <w:tcW w:w="2725" w:type="dxa"/>
            <w:vAlign w:val="center"/>
          </w:tcPr>
          <w:p w:rsidR="007778FC" w:rsidRPr="007778FC" w:rsidRDefault="007778FC" w:rsidP="007778FC">
            <w:pPr>
              <w:pStyle w:val="Listenabsatz"/>
              <w:numPr>
                <w:ilvl w:val="0"/>
                <w:numId w:val="3"/>
              </w:numPr>
              <w:tabs>
                <w:tab w:val="left" w:pos="3097"/>
              </w:tabs>
              <w:spacing w:before="100" w:beforeAutospacing="1" w:after="100" w:afterAutospacing="1"/>
              <w:outlineLvl w:val="0"/>
              <w:rPr>
                <w:rFonts w:eastAsia="Times New Roman" w:cs="Times New Roman"/>
                <w:bCs/>
                <w:kern w:val="36"/>
                <w:sz w:val="24"/>
                <w:szCs w:val="24"/>
                <w:lang w:eastAsia="de-DE"/>
              </w:rPr>
            </w:pPr>
            <w:r w:rsidRPr="007778FC">
              <w:rPr>
                <w:rFonts w:eastAsia="Times New Roman" w:cs="Times New Roman"/>
                <w:bCs/>
                <w:kern w:val="36"/>
                <w:sz w:val="24"/>
                <w:szCs w:val="24"/>
                <w:lang w:eastAsia="de-DE"/>
              </w:rPr>
              <w:t>erledigt</w:t>
            </w:r>
          </w:p>
        </w:tc>
      </w:tr>
    </w:tbl>
    <w:p w:rsidR="007778FC" w:rsidRDefault="007778FC" w:rsidP="007778FC">
      <w:pPr>
        <w:tabs>
          <w:tab w:val="left" w:pos="3097"/>
        </w:tabs>
        <w:spacing w:before="100" w:beforeAutospacing="1" w:after="100" w:afterAutospacing="1"/>
        <w:outlineLvl w:val="0"/>
        <w:rPr>
          <w:rFonts w:eastAsia="Times New Roman" w:cs="Times New Roman"/>
          <w:bCs/>
          <w:color w:val="C00000"/>
          <w:kern w:val="36"/>
          <w:sz w:val="19"/>
          <w:szCs w:val="19"/>
          <w:lang w:eastAsia="de-DE"/>
        </w:rPr>
      </w:pPr>
    </w:p>
    <w:tbl>
      <w:tblPr>
        <w:tblStyle w:val="Tabellengitternetz"/>
        <w:tblW w:w="0" w:type="auto"/>
        <w:tblLook w:val="04A0"/>
      </w:tblPr>
      <w:tblGrid>
        <w:gridCol w:w="6487"/>
        <w:gridCol w:w="2725"/>
      </w:tblGrid>
      <w:tr w:rsidR="007778FC" w:rsidTr="0040093A">
        <w:tc>
          <w:tcPr>
            <w:tcW w:w="9212" w:type="dxa"/>
            <w:gridSpan w:val="2"/>
          </w:tcPr>
          <w:p w:rsidR="007778FC" w:rsidRPr="00B166B1" w:rsidRDefault="00B166B1" w:rsidP="007778FC">
            <w:pPr>
              <w:tabs>
                <w:tab w:val="left" w:pos="3097"/>
              </w:tabs>
              <w:spacing w:before="100" w:beforeAutospacing="1" w:after="100" w:afterAutospacing="1"/>
              <w:outlineLvl w:val="0"/>
              <w:rPr>
                <w:rFonts w:eastAsia="Times New Roman" w:cs="Times New Roman"/>
                <w:bCs/>
                <w:kern w:val="36"/>
                <w:sz w:val="24"/>
                <w:szCs w:val="24"/>
                <w:lang w:eastAsia="de-DE"/>
              </w:rPr>
            </w:pPr>
            <w:r w:rsidRPr="00B166B1">
              <w:rPr>
                <w:rFonts w:eastAsia="Times New Roman" w:cs="Times New Roman"/>
                <w:bCs/>
                <w:kern w:val="36"/>
                <w:sz w:val="24"/>
                <w:szCs w:val="24"/>
                <w:lang w:eastAsia="de-DE"/>
              </w:rPr>
              <w:t>Fahrtenbuch</w:t>
            </w:r>
          </w:p>
        </w:tc>
      </w:tr>
      <w:tr w:rsidR="00B166B1" w:rsidTr="000620BE">
        <w:tc>
          <w:tcPr>
            <w:tcW w:w="6487" w:type="dxa"/>
            <w:vAlign w:val="center"/>
          </w:tcPr>
          <w:p w:rsidR="00B166B1" w:rsidRPr="00B166B1" w:rsidRDefault="00B166B1" w:rsidP="00E90E2D">
            <w:pPr>
              <w:spacing w:before="100" w:beforeAutospacing="1" w:after="100" w:afterAutospacing="1"/>
              <w:rPr>
                <w:rFonts w:eastAsia="Times New Roman" w:cs="Times New Roman"/>
                <w:sz w:val="24"/>
                <w:szCs w:val="24"/>
                <w:lang w:eastAsia="de-DE"/>
              </w:rPr>
            </w:pPr>
            <w:r w:rsidRPr="00B166B1">
              <w:rPr>
                <w:rFonts w:eastAsia="Times New Roman" w:cs="Times New Roman"/>
                <w:sz w:val="24"/>
                <w:szCs w:val="24"/>
                <w:lang w:eastAsia="de-DE"/>
              </w:rPr>
              <w:t>Führen Sie ein Fahrtenbuch, reichen Sie es bitte zusammen mit den weiteren Steuerunterlagen ein.</w:t>
            </w:r>
          </w:p>
        </w:tc>
        <w:tc>
          <w:tcPr>
            <w:tcW w:w="2725" w:type="dxa"/>
            <w:vAlign w:val="center"/>
          </w:tcPr>
          <w:p w:rsidR="00B166B1" w:rsidRPr="00B166B1" w:rsidRDefault="00B166B1" w:rsidP="00B166B1">
            <w:pPr>
              <w:pStyle w:val="Listenabsatz"/>
              <w:numPr>
                <w:ilvl w:val="0"/>
                <w:numId w:val="3"/>
              </w:numPr>
              <w:tabs>
                <w:tab w:val="left" w:pos="3097"/>
              </w:tabs>
              <w:spacing w:before="100" w:beforeAutospacing="1" w:after="100" w:afterAutospacing="1"/>
              <w:outlineLvl w:val="0"/>
              <w:rPr>
                <w:rFonts w:eastAsia="Times New Roman" w:cs="Times New Roman"/>
                <w:bCs/>
                <w:kern w:val="36"/>
                <w:sz w:val="24"/>
                <w:szCs w:val="24"/>
                <w:lang w:eastAsia="de-DE"/>
              </w:rPr>
            </w:pPr>
            <w:r>
              <w:rPr>
                <w:rFonts w:eastAsia="Times New Roman" w:cs="Times New Roman"/>
                <w:bCs/>
                <w:kern w:val="36"/>
                <w:sz w:val="24"/>
                <w:szCs w:val="24"/>
                <w:lang w:eastAsia="de-DE"/>
              </w:rPr>
              <w:t>e</w:t>
            </w:r>
            <w:r w:rsidRPr="00B166B1">
              <w:rPr>
                <w:rFonts w:eastAsia="Times New Roman" w:cs="Times New Roman"/>
                <w:bCs/>
                <w:kern w:val="36"/>
                <w:sz w:val="24"/>
                <w:szCs w:val="24"/>
                <w:lang w:eastAsia="de-DE"/>
              </w:rPr>
              <w:t>rledigt</w:t>
            </w:r>
          </w:p>
        </w:tc>
      </w:tr>
    </w:tbl>
    <w:p w:rsidR="007778FC" w:rsidRPr="007778FC" w:rsidRDefault="007778FC" w:rsidP="007778FC">
      <w:pPr>
        <w:tabs>
          <w:tab w:val="left" w:pos="3097"/>
        </w:tabs>
        <w:spacing w:before="100" w:beforeAutospacing="1" w:after="100" w:afterAutospacing="1"/>
        <w:outlineLvl w:val="0"/>
        <w:rPr>
          <w:rFonts w:eastAsia="Times New Roman" w:cs="Times New Roman"/>
          <w:bCs/>
          <w:color w:val="C00000"/>
          <w:kern w:val="36"/>
          <w:sz w:val="19"/>
          <w:szCs w:val="19"/>
          <w:lang w:eastAsia="de-DE"/>
        </w:rPr>
      </w:pPr>
    </w:p>
    <w:sectPr w:rsidR="007778FC" w:rsidRPr="007778FC" w:rsidSect="005D5FE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78" w:rsidRDefault="00337E78" w:rsidP="009A36EF">
      <w:pPr>
        <w:spacing w:after="0"/>
      </w:pPr>
      <w:r>
        <w:separator/>
      </w:r>
    </w:p>
  </w:endnote>
  <w:endnote w:type="continuationSeparator" w:id="0">
    <w:p w:rsidR="00337E78" w:rsidRDefault="00337E78" w:rsidP="009A36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78" w:rsidRDefault="00337E78" w:rsidP="009A36EF">
      <w:pPr>
        <w:spacing w:after="0"/>
      </w:pPr>
      <w:r>
        <w:separator/>
      </w:r>
    </w:p>
  </w:footnote>
  <w:footnote w:type="continuationSeparator" w:id="0">
    <w:p w:rsidR="00337E78" w:rsidRDefault="00337E78" w:rsidP="009A36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EF" w:rsidRDefault="009A36EF">
    <w:pPr>
      <w:pStyle w:val="Kopfzeile"/>
    </w:pPr>
    <w:r w:rsidRPr="009A36EF">
      <w:rPr>
        <w:noProof/>
        <w:lang w:eastAsia="de-DE"/>
      </w:rPr>
      <w:drawing>
        <wp:anchor distT="0" distB="0" distL="114300" distR="114300" simplePos="0" relativeHeight="251659264" behindDoc="0" locked="0" layoutInCell="1" allowOverlap="1">
          <wp:simplePos x="0" y="0"/>
          <wp:positionH relativeFrom="margin">
            <wp:posOffset>5192251</wp:posOffset>
          </wp:positionH>
          <wp:positionV relativeFrom="margin">
            <wp:posOffset>-641003</wp:posOffset>
          </wp:positionV>
          <wp:extent cx="1257660" cy="621102"/>
          <wp:effectExtent l="19050" t="0" r="0" b="0"/>
          <wp:wrapSquare wrapText="bothSides"/>
          <wp:docPr id="3"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57300" cy="6210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306"/>
    <w:multiLevelType w:val="hybridMultilevel"/>
    <w:tmpl w:val="00D2F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538AB"/>
    <w:multiLevelType w:val="hybridMultilevel"/>
    <w:tmpl w:val="5FCEE02C"/>
    <w:lvl w:ilvl="0" w:tplc="0D3C3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504347"/>
    <w:multiLevelType w:val="hybridMultilevel"/>
    <w:tmpl w:val="8BC0C058"/>
    <w:lvl w:ilvl="0" w:tplc="0D3C3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footnotePr>
    <w:footnote w:id="-1"/>
    <w:footnote w:id="0"/>
  </w:footnotePr>
  <w:endnotePr>
    <w:endnote w:id="-1"/>
    <w:endnote w:id="0"/>
  </w:endnotePr>
  <w:compat/>
  <w:docVars>
    <w:docVar w:name="KAW999957" w:val="MS Word"/>
  </w:docVars>
  <w:rsids>
    <w:rsidRoot w:val="007778FC"/>
    <w:rsid w:val="000620BE"/>
    <w:rsid w:val="00195E38"/>
    <w:rsid w:val="0031069E"/>
    <w:rsid w:val="00337E78"/>
    <w:rsid w:val="003607E0"/>
    <w:rsid w:val="003646CF"/>
    <w:rsid w:val="005D5FE1"/>
    <w:rsid w:val="006F6D1F"/>
    <w:rsid w:val="00726E80"/>
    <w:rsid w:val="007778FC"/>
    <w:rsid w:val="00832696"/>
    <w:rsid w:val="009A36EF"/>
    <w:rsid w:val="00A176BC"/>
    <w:rsid w:val="00A46476"/>
    <w:rsid w:val="00AD2EF9"/>
    <w:rsid w:val="00B15535"/>
    <w:rsid w:val="00B166B1"/>
    <w:rsid w:val="00C111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8FC"/>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77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778FC"/>
    <w:pPr>
      <w:ind w:left="720"/>
      <w:contextualSpacing/>
    </w:pPr>
  </w:style>
  <w:style w:type="paragraph" w:styleId="Sprechblasentext">
    <w:name w:val="Balloon Text"/>
    <w:basedOn w:val="Standard"/>
    <w:link w:val="SprechblasentextZchn"/>
    <w:uiPriority w:val="99"/>
    <w:semiHidden/>
    <w:unhideWhenUsed/>
    <w:rsid w:val="007778F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8FC"/>
    <w:rPr>
      <w:rFonts w:ascii="Tahoma" w:hAnsi="Tahoma" w:cs="Tahoma"/>
      <w:sz w:val="16"/>
      <w:szCs w:val="16"/>
    </w:rPr>
  </w:style>
  <w:style w:type="paragraph" w:styleId="Kopfzeile">
    <w:name w:val="header"/>
    <w:basedOn w:val="Standard"/>
    <w:link w:val="KopfzeileZchn"/>
    <w:uiPriority w:val="99"/>
    <w:semiHidden/>
    <w:unhideWhenUsed/>
    <w:rsid w:val="009A36EF"/>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9A36EF"/>
  </w:style>
  <w:style w:type="paragraph" w:styleId="Fuzeile">
    <w:name w:val="footer"/>
    <w:basedOn w:val="Standard"/>
    <w:link w:val="FuzeileZchn"/>
    <w:uiPriority w:val="99"/>
    <w:semiHidden/>
    <w:unhideWhenUsed/>
    <w:rsid w:val="009A36EF"/>
    <w:pPr>
      <w:tabs>
        <w:tab w:val="center" w:pos="4536"/>
        <w:tab w:val="right" w:pos="9072"/>
      </w:tabs>
      <w:spacing w:after="0"/>
    </w:pPr>
  </w:style>
  <w:style w:type="character" w:customStyle="1" w:styleId="FuzeileZchn">
    <w:name w:val="Fußzeile Zchn"/>
    <w:basedOn w:val="Absatz-Standardschriftart"/>
    <w:link w:val="Fuzeile"/>
    <w:uiPriority w:val="99"/>
    <w:semiHidden/>
    <w:rsid w:val="009A36EF"/>
  </w:style>
  <w:style w:type="paragraph" w:styleId="Dokumentstruktur">
    <w:name w:val="Document Map"/>
    <w:basedOn w:val="Standard"/>
    <w:link w:val="DokumentstrukturZchn"/>
    <w:uiPriority w:val="99"/>
    <w:semiHidden/>
    <w:unhideWhenUsed/>
    <w:rsid w:val="00A46476"/>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46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Pecunia Treuhand GmbH &amp; Co. KG</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Wille</dc:creator>
  <cp:lastModifiedBy>Christian Götza</cp:lastModifiedBy>
  <cp:revision>2</cp:revision>
  <dcterms:created xsi:type="dcterms:W3CDTF">2015-05-20T09:19:00Z</dcterms:created>
  <dcterms:modified xsi:type="dcterms:W3CDTF">2015-05-20T09:19:00Z</dcterms:modified>
</cp:coreProperties>
</file>