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AB" w:rsidRPr="006A7991" w:rsidRDefault="00F232AB" w:rsidP="00B06A92">
      <w:pPr>
        <w:autoSpaceDE w:val="0"/>
        <w:autoSpaceDN w:val="0"/>
        <w:adjustRightInd w:val="0"/>
        <w:spacing w:after="0"/>
        <w:rPr>
          <w:rFonts w:cs="TT7B8Co00"/>
          <w:color w:val="B31117"/>
          <w:sz w:val="34"/>
          <w:szCs w:val="34"/>
        </w:rPr>
      </w:pPr>
    </w:p>
    <w:p w:rsidR="002C3ED6" w:rsidRPr="006A7991" w:rsidRDefault="002C3ED6" w:rsidP="00B06A92">
      <w:pPr>
        <w:autoSpaceDE w:val="0"/>
        <w:autoSpaceDN w:val="0"/>
        <w:adjustRightInd w:val="0"/>
        <w:spacing w:after="0"/>
        <w:rPr>
          <w:rFonts w:cs="TT7B8Co00"/>
          <w:color w:val="B31117"/>
          <w:sz w:val="34"/>
          <w:szCs w:val="34"/>
        </w:rPr>
      </w:pPr>
    </w:p>
    <w:p w:rsidR="00B06A92" w:rsidRPr="00CD01B2" w:rsidRDefault="00B06A92" w:rsidP="00CD01B2">
      <w:pPr>
        <w:autoSpaceDE w:val="0"/>
        <w:autoSpaceDN w:val="0"/>
        <w:adjustRightInd w:val="0"/>
        <w:spacing w:after="0"/>
        <w:outlineLvl w:val="0"/>
        <w:rPr>
          <w:rFonts w:asciiTheme="majorHAnsi" w:hAnsiTheme="majorHAnsi" w:cs="TT7B8Co00"/>
          <w:color w:val="E36C0A" w:themeColor="accent6" w:themeShade="BF"/>
          <w:sz w:val="34"/>
          <w:szCs w:val="34"/>
        </w:rPr>
      </w:pPr>
      <w:r w:rsidRPr="00CD01B2">
        <w:rPr>
          <w:rFonts w:asciiTheme="majorHAnsi" w:hAnsiTheme="majorHAnsi" w:cs="TT7B8Co00"/>
          <w:color w:val="E36C0A" w:themeColor="accent6" w:themeShade="BF"/>
          <w:sz w:val="34"/>
          <w:szCs w:val="34"/>
        </w:rPr>
        <w:t>Steuerspar-Checkliste: Unternehmer</w:t>
      </w:r>
      <w:r w:rsidR="002C3ED6" w:rsidRPr="00CD01B2">
        <w:rPr>
          <w:rFonts w:asciiTheme="majorHAnsi" w:hAnsiTheme="majorHAnsi" w:cs="TT7B8Co00"/>
          <w:color w:val="E36C0A" w:themeColor="accent6" w:themeShade="BF"/>
          <w:sz w:val="34"/>
          <w:szCs w:val="34"/>
        </w:rPr>
        <w:t xml:space="preserve"> (Bilanzierer)</w:t>
      </w:r>
    </w:p>
    <w:p w:rsidR="00B06A92" w:rsidRPr="006A7991" w:rsidRDefault="00B06A92" w:rsidP="00B06A92">
      <w:pPr>
        <w:autoSpaceDE w:val="0"/>
        <w:autoSpaceDN w:val="0"/>
        <w:adjustRightInd w:val="0"/>
        <w:spacing w:after="0"/>
        <w:rPr>
          <w:rFonts w:cs="TT7B8Eo00"/>
          <w:color w:val="000000"/>
          <w:sz w:val="19"/>
          <w:szCs w:val="19"/>
        </w:rPr>
      </w:pPr>
    </w:p>
    <w:p w:rsidR="005021F5" w:rsidRPr="006A7991" w:rsidRDefault="005021F5" w:rsidP="00B06A92">
      <w:pPr>
        <w:autoSpaceDE w:val="0"/>
        <w:autoSpaceDN w:val="0"/>
        <w:adjustRightInd w:val="0"/>
        <w:spacing w:after="0"/>
        <w:rPr>
          <w:rFonts w:cs="TT7B8Eo00"/>
          <w:color w:val="000000"/>
          <w:sz w:val="19"/>
          <w:szCs w:val="19"/>
        </w:rPr>
      </w:pPr>
    </w:p>
    <w:p w:rsidR="002C3ED6" w:rsidRPr="006A7991" w:rsidRDefault="002C3ED6" w:rsidP="00B06A92">
      <w:pPr>
        <w:autoSpaceDE w:val="0"/>
        <w:autoSpaceDN w:val="0"/>
        <w:adjustRightInd w:val="0"/>
        <w:spacing w:after="0"/>
        <w:rPr>
          <w:rFonts w:cs="TT7B8Eo00"/>
          <w:color w:val="000000"/>
          <w:sz w:val="19"/>
          <w:szCs w:val="19"/>
        </w:rPr>
      </w:pPr>
    </w:p>
    <w:tbl>
      <w:tblPr>
        <w:tblStyle w:val="Tabellengitternetz"/>
        <w:tblW w:w="0" w:type="auto"/>
        <w:tblLook w:val="04A0"/>
      </w:tblPr>
      <w:tblGrid>
        <w:gridCol w:w="6487"/>
        <w:gridCol w:w="2801"/>
      </w:tblGrid>
      <w:tr w:rsidR="00686DB5" w:rsidRPr="006A7991" w:rsidTr="00994133">
        <w:tc>
          <w:tcPr>
            <w:tcW w:w="9288" w:type="dxa"/>
            <w:gridSpan w:val="2"/>
          </w:tcPr>
          <w:p w:rsidR="00686DB5" w:rsidRPr="006A7991" w:rsidRDefault="00686DB5" w:rsidP="00B06A92">
            <w:pPr>
              <w:autoSpaceDE w:val="0"/>
              <w:autoSpaceDN w:val="0"/>
              <w:adjustRightInd w:val="0"/>
              <w:rPr>
                <w:rFonts w:cs="TT7B8Do00"/>
                <w:color w:val="000000"/>
                <w:sz w:val="24"/>
                <w:szCs w:val="24"/>
              </w:rPr>
            </w:pPr>
            <w:r w:rsidRPr="006A7991">
              <w:rPr>
                <w:rFonts w:cs="TT7B8Do00"/>
                <w:color w:val="000000"/>
                <w:sz w:val="24"/>
                <w:szCs w:val="24"/>
              </w:rPr>
              <w:t>Gewinnverlagerungen beim Bilanzierer</w:t>
            </w:r>
          </w:p>
        </w:tc>
      </w:tr>
      <w:tr w:rsidR="00686DB5" w:rsidRPr="006A7991" w:rsidTr="00686DB5">
        <w:tc>
          <w:tcPr>
            <w:tcW w:w="6487" w:type="dxa"/>
          </w:tcPr>
          <w:p w:rsidR="009A5744" w:rsidRPr="006A7991" w:rsidRDefault="00686DB5" w:rsidP="00B06A92">
            <w:pPr>
              <w:autoSpaceDE w:val="0"/>
              <w:autoSpaceDN w:val="0"/>
              <w:adjustRightInd w:val="0"/>
              <w:rPr>
                <w:rFonts w:cs="TT7B8Eo00"/>
                <w:color w:val="000000"/>
                <w:sz w:val="24"/>
                <w:szCs w:val="24"/>
              </w:rPr>
            </w:pPr>
            <w:r w:rsidRPr="006A7991">
              <w:rPr>
                <w:rFonts w:cs="TT7B8Eo00"/>
                <w:color w:val="000000"/>
                <w:sz w:val="24"/>
                <w:szCs w:val="24"/>
              </w:rPr>
              <w:t>Mittels entsprechenden Bilanzierungsmöglichkeiten</w:t>
            </w:r>
            <w:r w:rsidR="009A5744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lassen sich Gewinne in begrenztem Umfang ins</w:t>
            </w:r>
            <w:r w:rsidR="009A5744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kommende Jahr verlagern. Dadurch entsteht zwar keine</w:t>
            </w:r>
            <w:r w:rsidR="009A5744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echte Steuerersparnis, Sie</w:t>
            </w:r>
            <w:r w:rsid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profitieren jedoch von einer</w:t>
            </w:r>
            <w:r w:rsidR="009A5744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Steuerstundung, die Ihnen unter Umständen einen nicht</w:t>
            </w:r>
            <w:r w:rsidR="009A5744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unbeachtlichen Zinsgewinn einbringen kann.</w:t>
            </w:r>
            <w:r w:rsidR="009A5744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</w:p>
          <w:p w:rsidR="009A5744" w:rsidRPr="006A7991" w:rsidRDefault="009A5744" w:rsidP="00B06A92">
            <w:pPr>
              <w:autoSpaceDE w:val="0"/>
              <w:autoSpaceDN w:val="0"/>
              <w:adjustRightInd w:val="0"/>
              <w:rPr>
                <w:rFonts w:cs="TT7B8Eo00"/>
                <w:color w:val="000000"/>
                <w:sz w:val="24"/>
                <w:szCs w:val="24"/>
              </w:rPr>
            </w:pPr>
          </w:p>
          <w:p w:rsidR="00686DB5" w:rsidRPr="006A7991" w:rsidRDefault="00686DB5" w:rsidP="009A5744">
            <w:pPr>
              <w:autoSpaceDE w:val="0"/>
              <w:autoSpaceDN w:val="0"/>
              <w:adjustRightInd w:val="0"/>
              <w:rPr>
                <w:rFonts w:cs="TT7B8Eo00"/>
                <w:color w:val="000000"/>
                <w:sz w:val="24"/>
                <w:szCs w:val="24"/>
              </w:rPr>
            </w:pPr>
            <w:r w:rsidRPr="006A7991">
              <w:rPr>
                <w:rFonts w:cs="TT7B8Eo00"/>
                <w:color w:val="000000"/>
                <w:sz w:val="24"/>
                <w:szCs w:val="24"/>
              </w:rPr>
              <w:t>Eine wesentliche Möglichkeit der Gewinnverlagerung ist</w:t>
            </w:r>
            <w:r w:rsidR="009A5744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die Ausschöpfung aller Abschreibungsmöglichkeiten.</w:t>
            </w:r>
            <w:r w:rsidR="009A5744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Bewegliche Wirtschaftsgüter, die nach dem 1.1.2011</w:t>
            </w:r>
            <w:r w:rsidR="009A5744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angeschafft wurden, können nur linear abgeschrieben</w:t>
            </w:r>
            <w:r w:rsidR="009A5744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werden. Dennoch sollten die Möglichkeiten</w:t>
            </w:r>
            <w:r w:rsidR="009A5744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außerplanmäßiger Abschreibungen geprüft werden, wenn</w:t>
            </w:r>
            <w:r w:rsidR="009A5744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es in 2014 zu besonderen Wertminderungen gekommen</w:t>
            </w:r>
            <w:r w:rsidR="009A5744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ist.</w:t>
            </w:r>
          </w:p>
        </w:tc>
        <w:tc>
          <w:tcPr>
            <w:tcW w:w="2801" w:type="dxa"/>
            <w:vAlign w:val="center"/>
          </w:tcPr>
          <w:p w:rsidR="00686DB5" w:rsidRPr="006A7991" w:rsidRDefault="00686DB5" w:rsidP="00686DB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T7B8Eo00"/>
                <w:color w:val="000000"/>
                <w:sz w:val="24"/>
                <w:szCs w:val="24"/>
              </w:rPr>
            </w:pPr>
            <w:r w:rsidRPr="006A7991">
              <w:rPr>
                <w:rFonts w:cs="TT7B8Eo00"/>
                <w:color w:val="000000"/>
                <w:sz w:val="24"/>
                <w:szCs w:val="24"/>
              </w:rPr>
              <w:t>erledigt</w:t>
            </w:r>
          </w:p>
        </w:tc>
      </w:tr>
    </w:tbl>
    <w:p w:rsidR="002C3ED6" w:rsidRPr="006A7991" w:rsidRDefault="002C3ED6">
      <w:pPr>
        <w:rPr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6487"/>
        <w:gridCol w:w="2801"/>
      </w:tblGrid>
      <w:tr w:rsidR="00686DB5" w:rsidRPr="006A7991" w:rsidTr="00A46D0D">
        <w:tc>
          <w:tcPr>
            <w:tcW w:w="9288" w:type="dxa"/>
            <w:gridSpan w:val="2"/>
          </w:tcPr>
          <w:p w:rsidR="00686DB5" w:rsidRPr="006A7991" w:rsidRDefault="00686DB5" w:rsidP="00B06A92">
            <w:pPr>
              <w:autoSpaceDE w:val="0"/>
              <w:autoSpaceDN w:val="0"/>
              <w:adjustRightInd w:val="0"/>
              <w:rPr>
                <w:rFonts w:cs="TT7B8Do00"/>
                <w:color w:val="000000"/>
                <w:sz w:val="24"/>
                <w:szCs w:val="24"/>
              </w:rPr>
            </w:pPr>
            <w:r w:rsidRPr="006A7991">
              <w:rPr>
                <w:rFonts w:cs="TT7B8Do00"/>
                <w:color w:val="000000"/>
                <w:sz w:val="24"/>
                <w:szCs w:val="24"/>
              </w:rPr>
              <w:t>Leistungsabschreibung</w:t>
            </w:r>
          </w:p>
        </w:tc>
      </w:tr>
      <w:tr w:rsidR="00686DB5" w:rsidRPr="006A7991" w:rsidTr="00686DB5">
        <w:tc>
          <w:tcPr>
            <w:tcW w:w="6487" w:type="dxa"/>
          </w:tcPr>
          <w:p w:rsidR="00686DB5" w:rsidRPr="006A7991" w:rsidRDefault="00686DB5" w:rsidP="00686DB5">
            <w:pPr>
              <w:autoSpaceDE w:val="0"/>
              <w:autoSpaceDN w:val="0"/>
              <w:adjustRightInd w:val="0"/>
              <w:rPr>
                <w:rFonts w:cs="TT7B8Eo00"/>
                <w:color w:val="000000"/>
                <w:sz w:val="24"/>
                <w:szCs w:val="24"/>
              </w:rPr>
            </w:pPr>
            <w:r w:rsidRPr="006A7991">
              <w:rPr>
                <w:rFonts w:cs="TT7B8Eo00"/>
                <w:color w:val="000000"/>
                <w:sz w:val="24"/>
                <w:szCs w:val="24"/>
              </w:rPr>
              <w:t>Die Leistungsabschreibung bestimmt sich nach der</w:t>
            </w:r>
            <w:r w:rsidR="009A5744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tatsächlichen Inanspruchnahme des Wirtschaftsgutes.</w:t>
            </w:r>
            <w:r w:rsidR="009A5744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Voraussetzung ist, dass die gesamte mögliche Leistung</w:t>
            </w:r>
            <w:r w:rsidR="009A5744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des Wirtschaftsguts anhand objektiver Kriterien</w:t>
            </w:r>
            <w:r w:rsidR="009A5744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bestimmbar ist (Betriebsstunden, Stückzahl,</w:t>
            </w:r>
            <w:r w:rsidR="009A5744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Kilometerleistung usw.)</w:t>
            </w:r>
          </w:p>
        </w:tc>
        <w:tc>
          <w:tcPr>
            <w:tcW w:w="2801" w:type="dxa"/>
            <w:vAlign w:val="center"/>
          </w:tcPr>
          <w:p w:rsidR="00686DB5" w:rsidRPr="006A7991" w:rsidRDefault="00686DB5" w:rsidP="002C3ED6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T7B8Eo00"/>
                <w:color w:val="000000"/>
                <w:sz w:val="24"/>
                <w:szCs w:val="24"/>
              </w:rPr>
            </w:pPr>
            <w:r w:rsidRPr="006A7991">
              <w:rPr>
                <w:rFonts w:cs="TT7B8Eo00"/>
                <w:color w:val="000000"/>
                <w:sz w:val="24"/>
                <w:szCs w:val="24"/>
              </w:rPr>
              <w:t>erledigt</w:t>
            </w:r>
          </w:p>
        </w:tc>
      </w:tr>
    </w:tbl>
    <w:p w:rsidR="002C3ED6" w:rsidRPr="006A7991" w:rsidRDefault="002C3ED6">
      <w:pPr>
        <w:rPr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6487"/>
        <w:gridCol w:w="2801"/>
      </w:tblGrid>
      <w:tr w:rsidR="00686DB5" w:rsidRPr="006A7991" w:rsidTr="008C2C61">
        <w:tc>
          <w:tcPr>
            <w:tcW w:w="9288" w:type="dxa"/>
            <w:gridSpan w:val="2"/>
          </w:tcPr>
          <w:p w:rsidR="00686DB5" w:rsidRPr="006A7991" w:rsidRDefault="00686DB5" w:rsidP="002C3ED6">
            <w:pPr>
              <w:autoSpaceDE w:val="0"/>
              <w:autoSpaceDN w:val="0"/>
              <w:adjustRightInd w:val="0"/>
              <w:rPr>
                <w:rFonts w:cs="TT7B8Do00"/>
                <w:color w:val="000000"/>
                <w:sz w:val="24"/>
                <w:szCs w:val="24"/>
              </w:rPr>
            </w:pPr>
            <w:r w:rsidRPr="006A7991">
              <w:rPr>
                <w:rFonts w:cs="TT7B8Do00"/>
                <w:color w:val="000000"/>
                <w:sz w:val="24"/>
                <w:szCs w:val="24"/>
              </w:rPr>
              <w:t>Geringwertige Wirtschaftsgüter</w:t>
            </w:r>
          </w:p>
        </w:tc>
      </w:tr>
      <w:tr w:rsidR="00686DB5" w:rsidRPr="006A7991" w:rsidTr="00686DB5">
        <w:tc>
          <w:tcPr>
            <w:tcW w:w="6487" w:type="dxa"/>
          </w:tcPr>
          <w:p w:rsidR="00686DB5" w:rsidRPr="006A7991" w:rsidRDefault="00686DB5" w:rsidP="00F232AB">
            <w:pPr>
              <w:autoSpaceDE w:val="0"/>
              <w:autoSpaceDN w:val="0"/>
              <w:adjustRightInd w:val="0"/>
              <w:rPr>
                <w:rFonts w:cs="TT7B8Eo00"/>
                <w:color w:val="000000"/>
                <w:sz w:val="24"/>
                <w:szCs w:val="24"/>
              </w:rPr>
            </w:pPr>
            <w:r w:rsidRPr="006A7991">
              <w:rPr>
                <w:rFonts w:cs="TT7B8Eo00"/>
                <w:color w:val="000000"/>
                <w:sz w:val="24"/>
                <w:szCs w:val="24"/>
              </w:rPr>
              <w:t>Werden geringwertige Wirtschaftsgüter noch bis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31.12.2014 angeschafft, können sie noch in diesem Jahr in voller Höhe abgeschrieben werden.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 xml:space="preserve">Der </w:t>
            </w:r>
            <w:proofErr w:type="spellStart"/>
            <w:r w:rsidRPr="006A7991">
              <w:rPr>
                <w:rFonts w:cs="TT7B8Eo00"/>
                <w:color w:val="000000"/>
                <w:sz w:val="24"/>
                <w:szCs w:val="24"/>
              </w:rPr>
              <w:t>steuerpflichtige</w:t>
            </w:r>
            <w:proofErr w:type="spellEnd"/>
            <w:r w:rsidRPr="006A7991">
              <w:rPr>
                <w:rFonts w:cs="TT7B8Eo00"/>
                <w:color w:val="000000"/>
                <w:sz w:val="24"/>
                <w:szCs w:val="24"/>
              </w:rPr>
              <w:t xml:space="preserve"> Gewinn vermindert sich entsprechend. Als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geringwertige Wirtschaftsgüter gelten bewegliche, abnutzbare und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selbstständig nutzbare Wirtschaftsgüter,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deren Anschaffungskosten nicht m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ehr als € 410 (netto) beträgt.</w:t>
            </w:r>
          </w:p>
        </w:tc>
        <w:tc>
          <w:tcPr>
            <w:tcW w:w="2801" w:type="dxa"/>
            <w:vAlign w:val="center"/>
          </w:tcPr>
          <w:p w:rsidR="00686DB5" w:rsidRPr="006A7991" w:rsidRDefault="00686DB5" w:rsidP="002C3ED6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T7B8Eo00"/>
                <w:color w:val="000000"/>
                <w:sz w:val="24"/>
                <w:szCs w:val="24"/>
              </w:rPr>
            </w:pPr>
            <w:r w:rsidRPr="006A7991">
              <w:rPr>
                <w:rFonts w:cs="TT7B8Eo00"/>
                <w:color w:val="000000"/>
                <w:sz w:val="24"/>
                <w:szCs w:val="24"/>
              </w:rPr>
              <w:t>erledigt</w:t>
            </w:r>
          </w:p>
        </w:tc>
      </w:tr>
    </w:tbl>
    <w:p w:rsidR="00686DB5" w:rsidRPr="006A7991" w:rsidRDefault="00686DB5" w:rsidP="002C3ED6">
      <w:pPr>
        <w:rPr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6487"/>
        <w:gridCol w:w="2725"/>
      </w:tblGrid>
      <w:tr w:rsidR="00686DB5" w:rsidRPr="006A7991" w:rsidTr="001A4AE6">
        <w:tc>
          <w:tcPr>
            <w:tcW w:w="9212" w:type="dxa"/>
            <w:gridSpan w:val="2"/>
          </w:tcPr>
          <w:p w:rsidR="00686DB5" w:rsidRPr="006A7991" w:rsidRDefault="00686DB5" w:rsidP="006A7991">
            <w:pPr>
              <w:autoSpaceDE w:val="0"/>
              <w:autoSpaceDN w:val="0"/>
              <w:adjustRightInd w:val="0"/>
              <w:rPr>
                <w:rFonts w:cs="TT7B8Do00"/>
                <w:color w:val="000000"/>
                <w:sz w:val="24"/>
                <w:szCs w:val="24"/>
              </w:rPr>
            </w:pPr>
            <w:r w:rsidRPr="006A7991">
              <w:rPr>
                <w:rFonts w:cs="TT7B8Do00"/>
                <w:color w:val="000000"/>
                <w:sz w:val="24"/>
                <w:szCs w:val="24"/>
              </w:rPr>
              <w:t>Fertige/unfertige Erzeugnisse</w:t>
            </w:r>
          </w:p>
        </w:tc>
      </w:tr>
      <w:tr w:rsidR="00686DB5" w:rsidRPr="006A7991" w:rsidTr="00686DB5">
        <w:tc>
          <w:tcPr>
            <w:tcW w:w="6487" w:type="dxa"/>
          </w:tcPr>
          <w:p w:rsidR="00686DB5" w:rsidRPr="006A7991" w:rsidRDefault="00686DB5" w:rsidP="006A79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7991">
              <w:rPr>
                <w:rFonts w:cs="TT7B8Eo00"/>
                <w:color w:val="000000"/>
                <w:sz w:val="24"/>
                <w:szCs w:val="24"/>
              </w:rPr>
              <w:t>Bei fertigen/unfertigen Erzeugnissen, Anlagen oder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Projekten entsteht der steuerpflichtige Gewinn erst bei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Übergabe bzw. Abnahme. Vereinbaren Sie daher die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Auslieferung von Fertigerzeugnissen bzw. die Abnahme</w:t>
            </w:r>
            <w:r w:rsid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von Anlagen, Bauwerken usw. für den Beginn des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nächsten Jahres.</w:t>
            </w:r>
          </w:p>
        </w:tc>
        <w:tc>
          <w:tcPr>
            <w:tcW w:w="2725" w:type="dxa"/>
            <w:vAlign w:val="center"/>
          </w:tcPr>
          <w:p w:rsidR="00686DB5" w:rsidRPr="006A7991" w:rsidRDefault="00686DB5" w:rsidP="00686DB5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T7B8Eo00"/>
                <w:color w:val="000000"/>
                <w:sz w:val="24"/>
                <w:szCs w:val="24"/>
              </w:rPr>
            </w:pPr>
            <w:r w:rsidRPr="006A7991">
              <w:rPr>
                <w:rFonts w:cs="TT7B8Eo00"/>
                <w:color w:val="000000"/>
                <w:sz w:val="24"/>
                <w:szCs w:val="24"/>
              </w:rPr>
              <w:t>erledigt</w:t>
            </w:r>
          </w:p>
        </w:tc>
      </w:tr>
    </w:tbl>
    <w:p w:rsidR="00686DB5" w:rsidRDefault="00686DB5" w:rsidP="002C3ED6">
      <w:pPr>
        <w:rPr>
          <w:sz w:val="24"/>
          <w:szCs w:val="24"/>
        </w:rPr>
      </w:pPr>
    </w:p>
    <w:p w:rsidR="006A7991" w:rsidRDefault="006A7991" w:rsidP="002C3ED6">
      <w:pPr>
        <w:rPr>
          <w:sz w:val="24"/>
          <w:szCs w:val="24"/>
        </w:rPr>
      </w:pPr>
    </w:p>
    <w:p w:rsidR="006A7991" w:rsidRPr="006A7991" w:rsidRDefault="006A7991" w:rsidP="002C3ED6">
      <w:pPr>
        <w:rPr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6487"/>
        <w:gridCol w:w="2725"/>
      </w:tblGrid>
      <w:tr w:rsidR="005021F5" w:rsidRPr="006A7991" w:rsidTr="00980CBC">
        <w:tc>
          <w:tcPr>
            <w:tcW w:w="9212" w:type="dxa"/>
            <w:gridSpan w:val="2"/>
          </w:tcPr>
          <w:p w:rsidR="005021F5" w:rsidRPr="006A7991" w:rsidRDefault="005021F5" w:rsidP="005021F5">
            <w:pPr>
              <w:autoSpaceDE w:val="0"/>
              <w:autoSpaceDN w:val="0"/>
              <w:adjustRightInd w:val="0"/>
              <w:rPr>
                <w:rFonts w:cs="TT7B8Do00"/>
                <w:color w:val="000000"/>
                <w:sz w:val="24"/>
                <w:szCs w:val="24"/>
              </w:rPr>
            </w:pPr>
            <w:r w:rsidRPr="006A7991">
              <w:rPr>
                <w:rFonts w:cs="TT7B8Do00"/>
                <w:color w:val="000000"/>
                <w:sz w:val="24"/>
                <w:szCs w:val="24"/>
              </w:rPr>
              <w:t>Festwertansatz</w:t>
            </w:r>
          </w:p>
        </w:tc>
      </w:tr>
      <w:tr w:rsidR="006A7991" w:rsidRPr="006A7991" w:rsidTr="005021F5">
        <w:tc>
          <w:tcPr>
            <w:tcW w:w="6487" w:type="dxa"/>
          </w:tcPr>
          <w:p w:rsidR="005021F5" w:rsidRPr="006A7991" w:rsidRDefault="005021F5" w:rsidP="006A7991">
            <w:pPr>
              <w:autoSpaceDE w:val="0"/>
              <w:autoSpaceDN w:val="0"/>
              <w:adjustRightInd w:val="0"/>
              <w:rPr>
                <w:rFonts w:cs="TT7B8Eo00"/>
                <w:color w:val="000000"/>
                <w:sz w:val="24"/>
                <w:szCs w:val="24"/>
              </w:rPr>
            </w:pPr>
            <w:r w:rsidRPr="006A7991">
              <w:rPr>
                <w:rFonts w:cs="TT7B8Eo00"/>
                <w:color w:val="000000"/>
                <w:sz w:val="24"/>
                <w:szCs w:val="24"/>
              </w:rPr>
              <w:t>Unter anderem können Roh-, Hilfs- und Betriebsstoffe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 xml:space="preserve">unter bestimmten Voraussetzungen mit einem </w:t>
            </w:r>
            <w:proofErr w:type="spellStart"/>
            <w:r w:rsidRPr="006A7991">
              <w:rPr>
                <w:rFonts w:cs="TT7B8Eo00"/>
                <w:color w:val="000000"/>
                <w:sz w:val="24"/>
                <w:szCs w:val="24"/>
              </w:rPr>
              <w:t>Festwert</w:t>
            </w:r>
            <w:proofErr w:type="spellEnd"/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angesetzt werden. Bei Wirtschaftsgütern, für die Sie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Festwerte gebildet haben, können Sie die</w:t>
            </w:r>
            <w:r w:rsidR="006A7991">
              <w:rPr>
                <w:rFonts w:cs="TT7B8Eo00"/>
                <w:color w:val="000000"/>
                <w:sz w:val="24"/>
                <w:szCs w:val="24"/>
              </w:rPr>
              <w:t xml:space="preserve"> Anschaffungskosten für neu hi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nzuerworbene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Wirtschaftsgüter sofort als Aufwand verbuchen.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Festwerte können Sie bis zu drei Jahre lang beibehalten.</w:t>
            </w:r>
          </w:p>
        </w:tc>
        <w:tc>
          <w:tcPr>
            <w:tcW w:w="2725" w:type="dxa"/>
            <w:vAlign w:val="center"/>
          </w:tcPr>
          <w:p w:rsidR="005021F5" w:rsidRPr="006A7991" w:rsidRDefault="005021F5" w:rsidP="005021F5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A7991">
              <w:rPr>
                <w:rFonts w:cs="TT7B8Eo00"/>
                <w:color w:val="000000"/>
                <w:sz w:val="24"/>
                <w:szCs w:val="24"/>
              </w:rPr>
              <w:t>erledigt</w:t>
            </w:r>
          </w:p>
        </w:tc>
      </w:tr>
    </w:tbl>
    <w:p w:rsidR="00F232AB" w:rsidRPr="006A7991" w:rsidRDefault="00F232AB" w:rsidP="006A7991">
      <w:pPr>
        <w:spacing w:line="276" w:lineRule="auto"/>
        <w:rPr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6487"/>
        <w:gridCol w:w="2725"/>
      </w:tblGrid>
      <w:tr w:rsidR="005021F5" w:rsidRPr="006A7991" w:rsidTr="00C459F3">
        <w:tc>
          <w:tcPr>
            <w:tcW w:w="9212" w:type="dxa"/>
            <w:gridSpan w:val="2"/>
          </w:tcPr>
          <w:p w:rsidR="005021F5" w:rsidRPr="006A7991" w:rsidRDefault="005021F5" w:rsidP="005021F5">
            <w:pPr>
              <w:autoSpaceDE w:val="0"/>
              <w:autoSpaceDN w:val="0"/>
              <w:adjustRightInd w:val="0"/>
              <w:rPr>
                <w:rFonts w:cs="TT7B8Do00"/>
                <w:color w:val="000000"/>
                <w:sz w:val="24"/>
                <w:szCs w:val="24"/>
              </w:rPr>
            </w:pPr>
            <w:r w:rsidRPr="006A7991">
              <w:rPr>
                <w:rFonts w:cs="TT7B8Do00"/>
                <w:color w:val="000000"/>
                <w:sz w:val="24"/>
                <w:szCs w:val="24"/>
              </w:rPr>
              <w:t>Geschenke an Geschäftspartner</w:t>
            </w:r>
          </w:p>
        </w:tc>
      </w:tr>
      <w:tr w:rsidR="005021F5" w:rsidRPr="006A7991" w:rsidTr="005021F5">
        <w:tc>
          <w:tcPr>
            <w:tcW w:w="6487" w:type="dxa"/>
          </w:tcPr>
          <w:p w:rsidR="005021F5" w:rsidRPr="006A7991" w:rsidRDefault="005021F5" w:rsidP="006A7991">
            <w:pPr>
              <w:autoSpaceDE w:val="0"/>
              <w:autoSpaceDN w:val="0"/>
              <w:adjustRightInd w:val="0"/>
              <w:rPr>
                <w:rFonts w:cs="TT7B8Eo00"/>
                <w:color w:val="000000"/>
                <w:sz w:val="24"/>
                <w:szCs w:val="24"/>
              </w:rPr>
            </w:pPr>
            <w:r w:rsidRPr="006A7991">
              <w:rPr>
                <w:rFonts w:cs="TT7B8Eo00"/>
                <w:color w:val="000000"/>
                <w:sz w:val="24"/>
                <w:szCs w:val="24"/>
              </w:rPr>
              <w:t>Sofern Sie in diesem Jahr noch keine Geschenke an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="006A7991">
              <w:rPr>
                <w:rFonts w:cs="TT7B8Eo00"/>
                <w:color w:val="000000"/>
                <w:sz w:val="24"/>
                <w:szCs w:val="24"/>
              </w:rPr>
              <w:t>G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eschäftspartner verteilt haben, können Sie das noch bis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Jahresende tun. Steuerfrei im Kalenderjahr sind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Geschenke bis zu € 35. Der Betrag gilt „netto“, wenn der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Unternehmer vorsteuerabzugsberechtigt ist.</w:t>
            </w:r>
          </w:p>
        </w:tc>
        <w:tc>
          <w:tcPr>
            <w:tcW w:w="2725" w:type="dxa"/>
            <w:vAlign w:val="center"/>
          </w:tcPr>
          <w:p w:rsidR="005021F5" w:rsidRPr="006A7991" w:rsidRDefault="005021F5" w:rsidP="005021F5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A7991">
              <w:rPr>
                <w:rFonts w:cs="TT7B8Eo00"/>
                <w:color w:val="000000"/>
                <w:sz w:val="24"/>
                <w:szCs w:val="24"/>
              </w:rPr>
              <w:t>erledigt</w:t>
            </w:r>
          </w:p>
        </w:tc>
      </w:tr>
    </w:tbl>
    <w:p w:rsidR="005021F5" w:rsidRPr="006A7991" w:rsidRDefault="005021F5" w:rsidP="002C3ED6">
      <w:pPr>
        <w:rPr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6487"/>
        <w:gridCol w:w="2725"/>
      </w:tblGrid>
      <w:tr w:rsidR="005021F5" w:rsidRPr="006A7991" w:rsidTr="00A27CD2">
        <w:tc>
          <w:tcPr>
            <w:tcW w:w="9212" w:type="dxa"/>
            <w:gridSpan w:val="2"/>
          </w:tcPr>
          <w:p w:rsidR="005021F5" w:rsidRPr="006A7991" w:rsidRDefault="005021F5" w:rsidP="005021F5">
            <w:pPr>
              <w:autoSpaceDE w:val="0"/>
              <w:autoSpaceDN w:val="0"/>
              <w:adjustRightInd w:val="0"/>
              <w:rPr>
                <w:rFonts w:cs="TT7B8Do00"/>
                <w:color w:val="000000"/>
                <w:sz w:val="24"/>
                <w:szCs w:val="24"/>
              </w:rPr>
            </w:pPr>
            <w:r w:rsidRPr="006A7991">
              <w:rPr>
                <w:rFonts w:cs="TT7B8Do00"/>
                <w:color w:val="000000"/>
                <w:sz w:val="24"/>
                <w:szCs w:val="24"/>
              </w:rPr>
              <w:t>Bildung eines Investitionsabzugsbetrags</w:t>
            </w:r>
          </w:p>
        </w:tc>
      </w:tr>
      <w:tr w:rsidR="005021F5" w:rsidRPr="006A7991" w:rsidTr="005021F5">
        <w:tc>
          <w:tcPr>
            <w:tcW w:w="6487" w:type="dxa"/>
          </w:tcPr>
          <w:p w:rsidR="00F232AB" w:rsidRPr="006A7991" w:rsidRDefault="005021F5" w:rsidP="005021F5">
            <w:pPr>
              <w:autoSpaceDE w:val="0"/>
              <w:autoSpaceDN w:val="0"/>
              <w:adjustRightInd w:val="0"/>
              <w:rPr>
                <w:rFonts w:cs="TT7B8Eo00"/>
                <w:color w:val="000000"/>
                <w:sz w:val="24"/>
                <w:szCs w:val="24"/>
              </w:rPr>
            </w:pPr>
            <w:r w:rsidRPr="006A7991">
              <w:rPr>
                <w:rFonts w:cs="TT7B8Eo00"/>
                <w:color w:val="000000"/>
                <w:sz w:val="24"/>
                <w:szCs w:val="24"/>
              </w:rPr>
              <w:t>Ist noch in 2014 oder den folgenden drei Jahren die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Anschaffung von mehr als 90 % betrieblich genutzter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beweglicher Wirtschaftsgüter geplant, sollte noch 2014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ein Investitionsabzugsbetrag in Höhe von bis zu 40 % der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Anschaffungs- oder Herstellkosten gebildet werden.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</w:p>
          <w:p w:rsidR="00F232AB" w:rsidRPr="006A7991" w:rsidRDefault="00F232AB" w:rsidP="005021F5">
            <w:pPr>
              <w:autoSpaceDE w:val="0"/>
              <w:autoSpaceDN w:val="0"/>
              <w:adjustRightInd w:val="0"/>
              <w:rPr>
                <w:rFonts w:cs="TT7B8Eo00"/>
                <w:color w:val="000000"/>
                <w:sz w:val="24"/>
                <w:szCs w:val="24"/>
              </w:rPr>
            </w:pPr>
          </w:p>
          <w:p w:rsidR="005021F5" w:rsidRPr="006A7991" w:rsidRDefault="005021F5" w:rsidP="005021F5">
            <w:pPr>
              <w:autoSpaceDE w:val="0"/>
              <w:autoSpaceDN w:val="0"/>
              <w:adjustRightInd w:val="0"/>
              <w:rPr>
                <w:rFonts w:cs="TT7B8Eo00"/>
                <w:color w:val="000000"/>
                <w:sz w:val="24"/>
                <w:szCs w:val="24"/>
              </w:rPr>
            </w:pPr>
            <w:r w:rsidRPr="006A7991">
              <w:rPr>
                <w:rFonts w:cs="TT7B8Eo00"/>
                <w:color w:val="000000"/>
                <w:sz w:val="24"/>
                <w:szCs w:val="24"/>
              </w:rPr>
              <w:t>Der Investitionsabzugsbetrag kann auch nachträglich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gebildet werden, wenn seit der tatsächlichen Anschaffung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weniger als drei Jahre vergangen sind oder zum Ausgleich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nachträglicher Einkommenserhöhungen nach einer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Außenprüfung (vgl. aber Revisionsverfahren BFH Az. IV R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9/14).</w:t>
            </w:r>
          </w:p>
        </w:tc>
        <w:tc>
          <w:tcPr>
            <w:tcW w:w="2725" w:type="dxa"/>
            <w:vAlign w:val="center"/>
          </w:tcPr>
          <w:p w:rsidR="005021F5" w:rsidRPr="006A7991" w:rsidRDefault="005021F5" w:rsidP="005021F5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A7991">
              <w:rPr>
                <w:rFonts w:cs="TT7B8Eo00"/>
                <w:color w:val="000000"/>
                <w:sz w:val="24"/>
                <w:szCs w:val="24"/>
              </w:rPr>
              <w:t>erledigt</w:t>
            </w:r>
          </w:p>
        </w:tc>
      </w:tr>
    </w:tbl>
    <w:p w:rsidR="005021F5" w:rsidRPr="006A7991" w:rsidRDefault="005021F5" w:rsidP="002C3ED6">
      <w:pPr>
        <w:rPr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6487"/>
        <w:gridCol w:w="2725"/>
      </w:tblGrid>
      <w:tr w:rsidR="005021F5" w:rsidRPr="006A7991" w:rsidTr="002D2EF1">
        <w:tc>
          <w:tcPr>
            <w:tcW w:w="9212" w:type="dxa"/>
            <w:gridSpan w:val="2"/>
          </w:tcPr>
          <w:p w:rsidR="005021F5" w:rsidRPr="006A7991" w:rsidRDefault="005021F5" w:rsidP="005021F5">
            <w:pPr>
              <w:autoSpaceDE w:val="0"/>
              <w:autoSpaceDN w:val="0"/>
              <w:adjustRightInd w:val="0"/>
              <w:rPr>
                <w:rFonts w:cs="TT7B8Do00"/>
                <w:color w:val="000000"/>
                <w:sz w:val="24"/>
                <w:szCs w:val="24"/>
              </w:rPr>
            </w:pPr>
            <w:r w:rsidRPr="006A7991">
              <w:rPr>
                <w:rFonts w:cs="TT7B8Do00"/>
                <w:color w:val="000000"/>
                <w:sz w:val="24"/>
                <w:szCs w:val="24"/>
              </w:rPr>
              <w:t>Rückstellungen für unterlassene Instandhaltung</w:t>
            </w:r>
          </w:p>
        </w:tc>
      </w:tr>
      <w:tr w:rsidR="005021F5" w:rsidRPr="006A7991" w:rsidTr="005021F5">
        <w:tc>
          <w:tcPr>
            <w:tcW w:w="6487" w:type="dxa"/>
          </w:tcPr>
          <w:p w:rsidR="005021F5" w:rsidRPr="006A7991" w:rsidRDefault="005021F5" w:rsidP="005021F5">
            <w:pPr>
              <w:autoSpaceDE w:val="0"/>
              <w:autoSpaceDN w:val="0"/>
              <w:adjustRightInd w:val="0"/>
              <w:rPr>
                <w:rFonts w:cs="TT7B8Eo00"/>
                <w:color w:val="000000"/>
                <w:sz w:val="24"/>
                <w:szCs w:val="24"/>
              </w:rPr>
            </w:pPr>
            <w:r w:rsidRPr="006A7991">
              <w:rPr>
                <w:rFonts w:cs="TT7B8Eo00"/>
                <w:color w:val="000000"/>
                <w:sz w:val="24"/>
                <w:szCs w:val="24"/>
              </w:rPr>
              <w:t>Rückstellungen für unterlassene Instandhaltung mindern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als Aufwand den Gewinn. Im Steuerrecht erlaubt ist u.a.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eine nach Grundsätzen des Handelsgesetzbuches(§ 249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HGB) gebildete Rückstellung für unterlassene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Instandhaltung. Voraussetzung ist, dass die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Instandhaltungsmaßnahmen bis zum Bilanzstichtag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bereits erforderlich gewesen wären</w:t>
            </w:r>
            <w:r w:rsidR="006A7991">
              <w:rPr>
                <w:rFonts w:cs="TT7B8Eo00"/>
                <w:color w:val="000000"/>
                <w:sz w:val="24"/>
                <w:szCs w:val="24"/>
              </w:rPr>
              <w:t xml:space="preserve"> (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Nachweis/Dokumentation!) und dass die Arbeiten bis</w:t>
            </w:r>
            <w:r w:rsid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zum 31.03.2015 abgeschlossen sind.</w:t>
            </w:r>
          </w:p>
        </w:tc>
        <w:tc>
          <w:tcPr>
            <w:tcW w:w="2725" w:type="dxa"/>
            <w:vAlign w:val="center"/>
          </w:tcPr>
          <w:p w:rsidR="005021F5" w:rsidRPr="006A7991" w:rsidRDefault="005021F5" w:rsidP="005021F5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A7991">
              <w:rPr>
                <w:rFonts w:cs="TT7B8Eo00"/>
                <w:color w:val="000000"/>
                <w:sz w:val="24"/>
                <w:szCs w:val="24"/>
              </w:rPr>
              <w:t>erledigt</w:t>
            </w:r>
          </w:p>
        </w:tc>
      </w:tr>
    </w:tbl>
    <w:p w:rsidR="005021F5" w:rsidRDefault="005021F5" w:rsidP="002C3ED6">
      <w:pPr>
        <w:rPr>
          <w:sz w:val="24"/>
          <w:szCs w:val="24"/>
        </w:rPr>
      </w:pPr>
    </w:p>
    <w:p w:rsidR="006A7991" w:rsidRDefault="006A7991" w:rsidP="002C3ED6">
      <w:pPr>
        <w:rPr>
          <w:sz w:val="24"/>
          <w:szCs w:val="24"/>
        </w:rPr>
      </w:pPr>
    </w:p>
    <w:p w:rsidR="006A7991" w:rsidRDefault="006A7991" w:rsidP="002C3ED6">
      <w:pPr>
        <w:rPr>
          <w:sz w:val="24"/>
          <w:szCs w:val="24"/>
        </w:rPr>
      </w:pPr>
    </w:p>
    <w:p w:rsidR="006A7991" w:rsidRDefault="006A7991" w:rsidP="002C3ED6">
      <w:pPr>
        <w:rPr>
          <w:sz w:val="24"/>
          <w:szCs w:val="24"/>
        </w:rPr>
      </w:pPr>
    </w:p>
    <w:p w:rsidR="006A7991" w:rsidRPr="006A7991" w:rsidRDefault="006A7991" w:rsidP="002C3ED6">
      <w:pPr>
        <w:rPr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6487"/>
        <w:gridCol w:w="2725"/>
      </w:tblGrid>
      <w:tr w:rsidR="005021F5" w:rsidRPr="006A7991" w:rsidTr="00921666">
        <w:tc>
          <w:tcPr>
            <w:tcW w:w="9212" w:type="dxa"/>
            <w:gridSpan w:val="2"/>
          </w:tcPr>
          <w:p w:rsidR="005021F5" w:rsidRPr="006A7991" w:rsidRDefault="005021F5" w:rsidP="005021F5">
            <w:pPr>
              <w:autoSpaceDE w:val="0"/>
              <w:autoSpaceDN w:val="0"/>
              <w:adjustRightInd w:val="0"/>
              <w:rPr>
                <w:rFonts w:cs="TT7B8Do00"/>
                <w:color w:val="000000"/>
                <w:sz w:val="24"/>
                <w:szCs w:val="24"/>
              </w:rPr>
            </w:pPr>
            <w:r w:rsidRPr="006A7991">
              <w:rPr>
                <w:rFonts w:cs="TT7B8Do00"/>
                <w:color w:val="000000"/>
                <w:sz w:val="24"/>
                <w:szCs w:val="24"/>
              </w:rPr>
              <w:t>Überentnahmen-Check</w:t>
            </w:r>
          </w:p>
        </w:tc>
      </w:tr>
      <w:tr w:rsidR="005021F5" w:rsidRPr="006A7991" w:rsidTr="005021F5">
        <w:tc>
          <w:tcPr>
            <w:tcW w:w="6487" w:type="dxa"/>
          </w:tcPr>
          <w:p w:rsidR="00F232AB" w:rsidRDefault="005021F5" w:rsidP="00F232AB">
            <w:pPr>
              <w:autoSpaceDE w:val="0"/>
              <w:autoSpaceDN w:val="0"/>
              <w:adjustRightInd w:val="0"/>
              <w:rPr>
                <w:rFonts w:cs="TT7B8Eo00"/>
                <w:color w:val="000000"/>
                <w:sz w:val="24"/>
                <w:szCs w:val="24"/>
              </w:rPr>
            </w:pPr>
            <w:r w:rsidRPr="006A7991">
              <w:rPr>
                <w:rFonts w:cs="TT7B8Eo00"/>
                <w:color w:val="000000"/>
                <w:sz w:val="24"/>
                <w:szCs w:val="24"/>
              </w:rPr>
              <w:t>Haben Sie in 2014 als Einzelunternehmer oder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Mitunternehmer Überentnahmen getätigt, ist der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Steuerabzug betrieblicher Schuldzinsen in Gefahr.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</w:p>
          <w:p w:rsidR="006A7991" w:rsidRPr="006A7991" w:rsidRDefault="006A7991" w:rsidP="00F232AB">
            <w:pPr>
              <w:autoSpaceDE w:val="0"/>
              <w:autoSpaceDN w:val="0"/>
              <w:adjustRightInd w:val="0"/>
              <w:rPr>
                <w:rFonts w:cs="TT7B8Eo00"/>
                <w:color w:val="000000"/>
                <w:sz w:val="24"/>
                <w:szCs w:val="24"/>
              </w:rPr>
            </w:pPr>
          </w:p>
          <w:p w:rsidR="005021F5" w:rsidRPr="006A7991" w:rsidRDefault="005021F5" w:rsidP="00F232AB">
            <w:pPr>
              <w:autoSpaceDE w:val="0"/>
              <w:autoSpaceDN w:val="0"/>
              <w:adjustRightInd w:val="0"/>
              <w:rPr>
                <w:rFonts w:cs="TT7B8Eo00"/>
                <w:color w:val="000000"/>
                <w:sz w:val="24"/>
                <w:szCs w:val="24"/>
              </w:rPr>
            </w:pPr>
            <w:r w:rsidRPr="006A7991">
              <w:rPr>
                <w:rFonts w:cs="TT7B8Eo00"/>
                <w:color w:val="000000"/>
                <w:sz w:val="24"/>
                <w:szCs w:val="24"/>
              </w:rPr>
              <w:t>Eine Überentnahme liegt vor, wenn die Entnahmen die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Summe der Gewinne und der Einlagen in einem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Wirtschaftsjahr übersteigen. Liegt eine Überentnahme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vor, kann der Schuldzinsenabzug durch die die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E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ntnahmen kompensierenden Einlagen gerettet werden.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Die Einlagen müssen noch bis Jahresende bzw. zum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Geschäftsjahresende erfolgen. Sie können auch in das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Sonderbetriebsvermögen getätigt werden.</w:t>
            </w:r>
          </w:p>
        </w:tc>
        <w:tc>
          <w:tcPr>
            <w:tcW w:w="2725" w:type="dxa"/>
            <w:vAlign w:val="center"/>
          </w:tcPr>
          <w:p w:rsidR="005021F5" w:rsidRPr="006A7991" w:rsidRDefault="005021F5" w:rsidP="005021F5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A7991">
              <w:rPr>
                <w:rFonts w:cs="TT7B8Eo00"/>
                <w:color w:val="000000"/>
                <w:sz w:val="24"/>
                <w:szCs w:val="24"/>
              </w:rPr>
              <w:t>erledigt</w:t>
            </w:r>
          </w:p>
        </w:tc>
      </w:tr>
    </w:tbl>
    <w:p w:rsidR="005021F5" w:rsidRPr="006A7991" w:rsidRDefault="005021F5" w:rsidP="002C3ED6">
      <w:pPr>
        <w:rPr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6487"/>
        <w:gridCol w:w="2725"/>
      </w:tblGrid>
      <w:tr w:rsidR="005021F5" w:rsidRPr="006A7991" w:rsidTr="00827564">
        <w:tc>
          <w:tcPr>
            <w:tcW w:w="9212" w:type="dxa"/>
            <w:gridSpan w:val="2"/>
          </w:tcPr>
          <w:p w:rsidR="005021F5" w:rsidRPr="006A7991" w:rsidRDefault="005021F5" w:rsidP="005021F5">
            <w:pPr>
              <w:autoSpaceDE w:val="0"/>
              <w:autoSpaceDN w:val="0"/>
              <w:adjustRightInd w:val="0"/>
              <w:rPr>
                <w:rFonts w:cs="TT7B8Do00"/>
                <w:color w:val="000000"/>
                <w:sz w:val="24"/>
                <w:szCs w:val="24"/>
              </w:rPr>
            </w:pPr>
            <w:r w:rsidRPr="006A7991">
              <w:rPr>
                <w:rFonts w:cs="TT7B8Do00"/>
                <w:color w:val="000000"/>
                <w:sz w:val="24"/>
                <w:szCs w:val="24"/>
              </w:rPr>
              <w:t>Fahrtenbuch</w:t>
            </w:r>
          </w:p>
        </w:tc>
      </w:tr>
      <w:tr w:rsidR="005021F5" w:rsidRPr="006A7991" w:rsidTr="005021F5">
        <w:tc>
          <w:tcPr>
            <w:tcW w:w="6487" w:type="dxa"/>
          </w:tcPr>
          <w:p w:rsidR="005021F5" w:rsidRPr="006A7991" w:rsidRDefault="005021F5" w:rsidP="00F232AB">
            <w:pPr>
              <w:autoSpaceDE w:val="0"/>
              <w:autoSpaceDN w:val="0"/>
              <w:adjustRightInd w:val="0"/>
              <w:rPr>
                <w:rFonts w:cs="TT7B8Eo00"/>
                <w:color w:val="000000"/>
                <w:sz w:val="24"/>
                <w:szCs w:val="24"/>
              </w:rPr>
            </w:pPr>
            <w:r w:rsidRPr="006A7991">
              <w:rPr>
                <w:rFonts w:cs="TT7B8Eo00"/>
                <w:color w:val="000000"/>
                <w:sz w:val="24"/>
                <w:szCs w:val="24"/>
              </w:rPr>
              <w:t>Führen Sie ein Fahrtenbuch, reichen Sie es bitte</w:t>
            </w:r>
            <w:r w:rsidR="00F232AB" w:rsidRP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zusammen mit den weiteren Steuerunterlagen ein.</w:t>
            </w:r>
          </w:p>
        </w:tc>
        <w:tc>
          <w:tcPr>
            <w:tcW w:w="2725" w:type="dxa"/>
            <w:vAlign w:val="center"/>
          </w:tcPr>
          <w:p w:rsidR="005021F5" w:rsidRPr="006A7991" w:rsidRDefault="005021F5" w:rsidP="005021F5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A7991">
              <w:rPr>
                <w:rFonts w:cs="TT7B8Eo00"/>
                <w:color w:val="000000"/>
                <w:sz w:val="24"/>
                <w:szCs w:val="24"/>
              </w:rPr>
              <w:t>erledigt</w:t>
            </w:r>
          </w:p>
        </w:tc>
      </w:tr>
    </w:tbl>
    <w:p w:rsidR="005021F5" w:rsidRPr="006A7991" w:rsidRDefault="005021F5" w:rsidP="002C3ED6">
      <w:pPr>
        <w:rPr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6487"/>
        <w:gridCol w:w="2725"/>
      </w:tblGrid>
      <w:tr w:rsidR="005021F5" w:rsidRPr="006A7991" w:rsidTr="0092655D">
        <w:tc>
          <w:tcPr>
            <w:tcW w:w="9212" w:type="dxa"/>
            <w:gridSpan w:val="2"/>
          </w:tcPr>
          <w:p w:rsidR="005021F5" w:rsidRPr="006A7991" w:rsidRDefault="00F232AB" w:rsidP="00F232AB">
            <w:pPr>
              <w:autoSpaceDE w:val="0"/>
              <w:autoSpaceDN w:val="0"/>
              <w:adjustRightInd w:val="0"/>
              <w:rPr>
                <w:rFonts w:cs="TT7B8Do00"/>
                <w:color w:val="000000"/>
                <w:sz w:val="24"/>
                <w:szCs w:val="24"/>
              </w:rPr>
            </w:pPr>
            <w:r w:rsidRPr="006A7991">
              <w:rPr>
                <w:rFonts w:cs="TT7B8Do00"/>
                <w:color w:val="000000"/>
                <w:sz w:val="24"/>
                <w:szCs w:val="24"/>
              </w:rPr>
              <w:t>Diese Dokumente können am 31.12. vernichtet werden</w:t>
            </w:r>
          </w:p>
        </w:tc>
      </w:tr>
      <w:tr w:rsidR="005021F5" w:rsidRPr="006A7991" w:rsidTr="00F232AB">
        <w:tc>
          <w:tcPr>
            <w:tcW w:w="6487" w:type="dxa"/>
          </w:tcPr>
          <w:p w:rsidR="00F232AB" w:rsidRPr="006A7991" w:rsidRDefault="00F232AB" w:rsidP="00F232AB">
            <w:pPr>
              <w:autoSpaceDE w:val="0"/>
              <w:autoSpaceDN w:val="0"/>
              <w:adjustRightInd w:val="0"/>
              <w:rPr>
                <w:rFonts w:cs="TT7B8Eo00"/>
                <w:color w:val="000000"/>
                <w:sz w:val="24"/>
                <w:szCs w:val="24"/>
              </w:rPr>
            </w:pPr>
            <w:r w:rsidRPr="006A7991">
              <w:rPr>
                <w:rFonts w:cs="TT7B8Eo00"/>
                <w:color w:val="000000"/>
                <w:sz w:val="24"/>
                <w:szCs w:val="24"/>
              </w:rPr>
              <w:t>Handelsbücher, Inventare, Bilanzen und Buchungsbelege aus dem Jahre 2004 und frühe</w:t>
            </w:r>
            <w:r w:rsidR="006A7991">
              <w:rPr>
                <w:rFonts w:cs="TT7B8Eo00"/>
                <w:color w:val="000000"/>
                <w:sz w:val="24"/>
                <w:szCs w:val="24"/>
              </w:rPr>
              <w:t xml:space="preserve">r, sofern in den Dokumenten der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 xml:space="preserve">letzte Eintrag in 2004 </w:t>
            </w:r>
            <w:r w:rsidR="006A7991">
              <w:rPr>
                <w:rFonts w:cs="TT7B8Eo00"/>
                <w:color w:val="000000"/>
                <w:sz w:val="24"/>
                <w:szCs w:val="24"/>
              </w:rPr>
              <w:t xml:space="preserve">erfolgt ist sowie Handels- oder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Geschäftsbriefe, die bis einschließlich 2008</w:t>
            </w:r>
            <w:r w:rsidR="006A7991">
              <w:rPr>
                <w:rFonts w:cs="TT7B8Eo00"/>
                <w:color w:val="000000"/>
                <w:sz w:val="24"/>
                <w:szCs w:val="24"/>
              </w:rPr>
              <w:t xml:space="preserve"> </w:t>
            </w:r>
            <w:r w:rsidRPr="006A7991">
              <w:rPr>
                <w:rFonts w:cs="TT7B8Eo00"/>
                <w:color w:val="000000"/>
                <w:sz w:val="24"/>
                <w:szCs w:val="24"/>
              </w:rPr>
              <w:t>empfangen oder abgesandt wurden.</w:t>
            </w:r>
          </w:p>
          <w:p w:rsidR="00F232AB" w:rsidRPr="006A7991" w:rsidRDefault="00F232AB" w:rsidP="00F232AB">
            <w:pPr>
              <w:autoSpaceDE w:val="0"/>
              <w:autoSpaceDN w:val="0"/>
              <w:adjustRightInd w:val="0"/>
              <w:rPr>
                <w:rFonts w:cs="TT7B8Eo00"/>
                <w:color w:val="000000"/>
                <w:sz w:val="24"/>
                <w:szCs w:val="24"/>
              </w:rPr>
            </w:pPr>
          </w:p>
          <w:p w:rsidR="005021F5" w:rsidRPr="006A7991" w:rsidRDefault="00F232AB" w:rsidP="00F232AB">
            <w:pPr>
              <w:autoSpaceDE w:val="0"/>
              <w:autoSpaceDN w:val="0"/>
              <w:adjustRightInd w:val="0"/>
              <w:rPr>
                <w:rFonts w:cs="TT7B8Eo00"/>
                <w:color w:val="000000"/>
                <w:sz w:val="24"/>
                <w:szCs w:val="24"/>
              </w:rPr>
            </w:pPr>
            <w:r w:rsidRPr="006A7991">
              <w:rPr>
                <w:rFonts w:cs="TT7B8Eo00"/>
                <w:color w:val="000000"/>
                <w:sz w:val="24"/>
                <w:szCs w:val="24"/>
              </w:rPr>
              <w:t>Ausnahme: Die steuerliche Festsetzungsfrist ist infolge eines Ablaufhemmungstatbestandes noch nicht abgelaufen. Bitte sprechen Sie ggf. mit uns.</w:t>
            </w:r>
          </w:p>
        </w:tc>
        <w:tc>
          <w:tcPr>
            <w:tcW w:w="2725" w:type="dxa"/>
            <w:vAlign w:val="center"/>
          </w:tcPr>
          <w:p w:rsidR="005021F5" w:rsidRPr="006A7991" w:rsidRDefault="00F232AB" w:rsidP="00F232AB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A7991">
              <w:rPr>
                <w:rFonts w:cs="TT7B8Eo00"/>
                <w:color w:val="000000"/>
                <w:sz w:val="24"/>
                <w:szCs w:val="24"/>
              </w:rPr>
              <w:t>erledigt</w:t>
            </w:r>
          </w:p>
        </w:tc>
      </w:tr>
    </w:tbl>
    <w:p w:rsidR="005021F5" w:rsidRPr="006A7991" w:rsidRDefault="005021F5" w:rsidP="00F232AB">
      <w:pPr>
        <w:spacing w:line="276" w:lineRule="auto"/>
        <w:rPr>
          <w:sz w:val="24"/>
          <w:szCs w:val="24"/>
        </w:rPr>
      </w:pPr>
    </w:p>
    <w:sectPr w:rsidR="005021F5" w:rsidRPr="006A7991" w:rsidSect="00F232AB">
      <w:headerReference w:type="default" r:id="rId7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A20" w:rsidRDefault="00854A20" w:rsidP="00686DB5">
      <w:pPr>
        <w:spacing w:after="0"/>
      </w:pPr>
      <w:r>
        <w:separator/>
      </w:r>
    </w:p>
  </w:endnote>
  <w:endnote w:type="continuationSeparator" w:id="0">
    <w:p w:rsidR="00854A20" w:rsidRDefault="00854A20" w:rsidP="00686D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7B8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7B8E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7B8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A20" w:rsidRDefault="00854A20" w:rsidP="00686DB5">
      <w:pPr>
        <w:spacing w:after="0"/>
      </w:pPr>
      <w:r>
        <w:separator/>
      </w:r>
    </w:p>
  </w:footnote>
  <w:footnote w:type="continuationSeparator" w:id="0">
    <w:p w:rsidR="00854A20" w:rsidRDefault="00854A20" w:rsidP="00686DB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39" w:rsidRDefault="00220E39">
    <w:pPr>
      <w:pStyle w:val="Kopfzeile"/>
    </w:pPr>
    <w:r w:rsidRPr="00220E39"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5097361</wp:posOffset>
          </wp:positionH>
          <wp:positionV relativeFrom="margin">
            <wp:posOffset>-453306</wp:posOffset>
          </wp:positionV>
          <wp:extent cx="1257659" cy="621102"/>
          <wp:effectExtent l="19050" t="0" r="0" b="0"/>
          <wp:wrapSquare wrapText="bothSides"/>
          <wp:docPr id="3" name="Grafik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7300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26A9"/>
    <w:multiLevelType w:val="hybridMultilevel"/>
    <w:tmpl w:val="8D10059E"/>
    <w:lvl w:ilvl="0" w:tplc="1958C5DE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5137E"/>
    <w:multiLevelType w:val="hybridMultilevel"/>
    <w:tmpl w:val="132E3BCE"/>
    <w:lvl w:ilvl="0" w:tplc="1958C5DE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E3928"/>
    <w:multiLevelType w:val="hybridMultilevel"/>
    <w:tmpl w:val="EB166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KAW999957" w:val="MS Word"/>
  </w:docVars>
  <w:rsids>
    <w:rsidRoot w:val="00B06A92"/>
    <w:rsid w:val="00044CEB"/>
    <w:rsid w:val="00115BBC"/>
    <w:rsid w:val="00220E39"/>
    <w:rsid w:val="00293151"/>
    <w:rsid w:val="002C3ED6"/>
    <w:rsid w:val="002E7AC0"/>
    <w:rsid w:val="0031069E"/>
    <w:rsid w:val="00321CEE"/>
    <w:rsid w:val="003607E0"/>
    <w:rsid w:val="005021F5"/>
    <w:rsid w:val="005D5FE1"/>
    <w:rsid w:val="00686DB5"/>
    <w:rsid w:val="006A7991"/>
    <w:rsid w:val="00854A20"/>
    <w:rsid w:val="008A0937"/>
    <w:rsid w:val="009A5744"/>
    <w:rsid w:val="00A176BC"/>
    <w:rsid w:val="00B06A92"/>
    <w:rsid w:val="00B15535"/>
    <w:rsid w:val="00C111A9"/>
    <w:rsid w:val="00CD01B2"/>
    <w:rsid w:val="00D97A7D"/>
    <w:rsid w:val="00F232AB"/>
    <w:rsid w:val="00F9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6A92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0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06A9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ED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E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86DB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86DB5"/>
  </w:style>
  <w:style w:type="paragraph" w:styleId="Fuzeile">
    <w:name w:val="footer"/>
    <w:basedOn w:val="Standard"/>
    <w:link w:val="FuzeileZchn"/>
    <w:uiPriority w:val="99"/>
    <w:semiHidden/>
    <w:unhideWhenUsed/>
    <w:rsid w:val="00686DB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86DB5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D01B2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D0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Pecunia Treuhand GmbH &amp; Co. KG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Wille</dc:creator>
  <cp:lastModifiedBy>Christian Götza</cp:lastModifiedBy>
  <cp:revision>3</cp:revision>
  <dcterms:created xsi:type="dcterms:W3CDTF">2015-05-20T06:07:00Z</dcterms:created>
  <dcterms:modified xsi:type="dcterms:W3CDTF">2015-05-20T06:07:00Z</dcterms:modified>
</cp:coreProperties>
</file>